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A1" w:rsidRDefault="0045535C" w:rsidP="00ED7EA1">
      <w:pPr>
        <w:pStyle w:val="Pieddepage"/>
        <w:tabs>
          <w:tab w:val="clear" w:pos="4536"/>
          <w:tab w:val="clear" w:pos="9072"/>
        </w:tabs>
        <w:rPr>
          <w:rFonts w:cs="Arial"/>
        </w:rPr>
      </w:pPr>
      <w:r>
        <w:rPr>
          <w:rFonts w:cs="Arial"/>
          <w:noProof/>
        </w:rPr>
        <w:pict>
          <v:shapetype id="_x0000_t202" coordsize="21600,21600" o:spt="202" path="m,l,21600r21600,l21600,xe">
            <v:stroke joinstyle="miter"/>
            <v:path gradientshapeok="t" o:connecttype="rect"/>
          </v:shapetype>
          <v:shape id="_x0000_s1029" type="#_x0000_t202" style="position:absolute;margin-left:165.3pt;margin-top:2.55pt;width:308.25pt;height:129.75pt;z-index:251664384">
            <v:textbox>
              <w:txbxContent>
                <w:p w:rsidR="00F46ACF" w:rsidRDefault="00F46ACF" w:rsidP="00ED7EA1">
                  <w:pPr>
                    <w:jc w:val="center"/>
                    <w:rPr>
                      <w:rFonts w:ascii="Germany" w:hAnsi="Germany"/>
                      <w:i/>
                      <w:sz w:val="36"/>
                    </w:rPr>
                  </w:pPr>
                </w:p>
                <w:p w:rsidR="00F46ACF" w:rsidRPr="00306952" w:rsidRDefault="00F46ACF" w:rsidP="00ED7EA1">
                  <w:pPr>
                    <w:spacing w:line="240" w:lineRule="exact"/>
                    <w:rPr>
                      <w:rFonts w:cs="Arial"/>
                      <w:sz w:val="28"/>
                      <w:szCs w:val="28"/>
                    </w:rPr>
                  </w:pPr>
                  <w:r>
                    <w:rPr>
                      <w:rFonts w:cs="Arial"/>
                      <w:sz w:val="28"/>
                      <w:szCs w:val="28"/>
                    </w:rPr>
                    <w:t>SYNDICAT DEPARTEMENTAL d’ENERGIES du GERS</w:t>
                  </w:r>
                </w:p>
                <w:p w:rsidR="00F46ACF" w:rsidRPr="00306952" w:rsidRDefault="00F46ACF" w:rsidP="00ED7EA1">
                  <w:pPr>
                    <w:pStyle w:val="Pieddepage"/>
                    <w:tabs>
                      <w:tab w:val="clear" w:pos="4536"/>
                      <w:tab w:val="clear" w:pos="9072"/>
                    </w:tabs>
                    <w:spacing w:line="240" w:lineRule="exact"/>
                    <w:rPr>
                      <w:rFonts w:cs="Arial"/>
                      <w:sz w:val="28"/>
                      <w:szCs w:val="28"/>
                    </w:rPr>
                  </w:pPr>
                  <w:r w:rsidRPr="00306952">
                    <w:rPr>
                      <w:rFonts w:cs="Arial"/>
                      <w:sz w:val="28"/>
                      <w:szCs w:val="28"/>
                    </w:rPr>
                    <w:t xml:space="preserve">6 </w:t>
                  </w:r>
                  <w:proofErr w:type="gramStart"/>
                  <w:r w:rsidRPr="00306952">
                    <w:rPr>
                      <w:rFonts w:cs="Arial"/>
                      <w:sz w:val="28"/>
                      <w:szCs w:val="28"/>
                    </w:rPr>
                    <w:t>place</w:t>
                  </w:r>
                  <w:proofErr w:type="gramEnd"/>
                  <w:r w:rsidRPr="00306952">
                    <w:rPr>
                      <w:rFonts w:cs="Arial"/>
                      <w:sz w:val="28"/>
                      <w:szCs w:val="28"/>
                    </w:rPr>
                    <w:t xml:space="preserve"> de l’Ancien Foirail</w:t>
                  </w:r>
                </w:p>
                <w:p w:rsidR="00F46ACF" w:rsidRPr="000549D8" w:rsidRDefault="00F46ACF" w:rsidP="00ED7EA1">
                  <w:pPr>
                    <w:spacing w:line="240" w:lineRule="exact"/>
                    <w:rPr>
                      <w:rFonts w:cs="Arial"/>
                      <w:sz w:val="28"/>
                      <w:szCs w:val="28"/>
                    </w:rPr>
                  </w:pPr>
                  <w:r w:rsidRPr="000549D8">
                    <w:rPr>
                      <w:rFonts w:cs="Arial"/>
                      <w:sz w:val="28"/>
                      <w:szCs w:val="28"/>
                    </w:rPr>
                    <w:t>BP 60362</w:t>
                  </w:r>
                </w:p>
                <w:p w:rsidR="00F46ACF" w:rsidRPr="00306952" w:rsidRDefault="00F46ACF" w:rsidP="00ED7EA1">
                  <w:pPr>
                    <w:spacing w:line="240" w:lineRule="exact"/>
                    <w:rPr>
                      <w:rFonts w:cs="Arial"/>
                      <w:sz w:val="28"/>
                      <w:szCs w:val="28"/>
                      <w:lang w:val="en-GB"/>
                    </w:rPr>
                  </w:pPr>
                  <w:r w:rsidRPr="00306952">
                    <w:rPr>
                      <w:rFonts w:cs="Arial"/>
                      <w:sz w:val="28"/>
                      <w:szCs w:val="28"/>
                      <w:lang w:val="en-GB"/>
                    </w:rPr>
                    <w:t xml:space="preserve">32008 AUCH </w:t>
                  </w:r>
                  <w:proofErr w:type="spellStart"/>
                  <w:r w:rsidRPr="00306952">
                    <w:rPr>
                      <w:rFonts w:cs="Arial"/>
                      <w:sz w:val="28"/>
                      <w:szCs w:val="28"/>
                      <w:lang w:val="en-GB"/>
                    </w:rPr>
                    <w:t>cedex</w:t>
                  </w:r>
                  <w:proofErr w:type="spellEnd"/>
                </w:p>
                <w:p w:rsidR="00F46ACF" w:rsidRPr="00306952" w:rsidRDefault="00F46ACF" w:rsidP="00ED7EA1">
                  <w:pPr>
                    <w:spacing w:line="240" w:lineRule="exact"/>
                    <w:rPr>
                      <w:rFonts w:cs="Arial"/>
                      <w:sz w:val="28"/>
                      <w:szCs w:val="28"/>
                      <w:lang w:val="en-GB"/>
                    </w:rPr>
                  </w:pPr>
                  <w:r w:rsidRPr="00306952">
                    <w:rPr>
                      <w:rFonts w:cs="Arial"/>
                      <w:sz w:val="28"/>
                      <w:szCs w:val="28"/>
                    </w:rPr>
                    <w:sym w:font="Wingdings" w:char="F028"/>
                  </w:r>
                  <w:r w:rsidRPr="00306952">
                    <w:rPr>
                      <w:rFonts w:cs="Arial"/>
                      <w:sz w:val="28"/>
                      <w:szCs w:val="28"/>
                      <w:lang w:val="en-GB"/>
                    </w:rPr>
                    <w:t xml:space="preserve">  05.62.61.84.94</w:t>
                  </w:r>
                </w:p>
                <w:p w:rsidR="00F46ACF" w:rsidRPr="00ED7EA1" w:rsidRDefault="00F46ACF" w:rsidP="00ED7EA1">
                  <w:pPr>
                    <w:spacing w:line="240" w:lineRule="exact"/>
                    <w:rPr>
                      <w:rFonts w:cs="Arial"/>
                      <w:sz w:val="28"/>
                      <w:szCs w:val="28"/>
                      <w:lang w:val="en-US"/>
                    </w:rPr>
                  </w:pPr>
                  <w:r w:rsidRPr="00306952">
                    <w:rPr>
                      <w:rFonts w:cs="Arial"/>
                      <w:sz w:val="28"/>
                      <w:szCs w:val="28"/>
                    </w:rPr>
                    <w:sym w:font="Wingdings" w:char="F032"/>
                  </w:r>
                  <w:r w:rsidRPr="00306952">
                    <w:rPr>
                      <w:rFonts w:cs="Arial"/>
                      <w:sz w:val="28"/>
                      <w:szCs w:val="28"/>
                      <w:lang w:val="en-US"/>
                    </w:rPr>
                    <w:t xml:space="preserve">   05.62.05.67.89</w:t>
                  </w:r>
                </w:p>
                <w:p w:rsidR="00F46ACF" w:rsidRPr="00ED7EA1" w:rsidRDefault="00F46ACF" w:rsidP="00ED7EA1">
                  <w:pPr>
                    <w:spacing w:line="240" w:lineRule="exact"/>
                    <w:rPr>
                      <w:rFonts w:cs="Arial"/>
                      <w:sz w:val="28"/>
                      <w:szCs w:val="28"/>
                      <w:lang w:val="en-US"/>
                    </w:rPr>
                  </w:pPr>
                  <w:r w:rsidRPr="00306952">
                    <w:rPr>
                      <w:rFonts w:cs="Arial"/>
                      <w:sz w:val="28"/>
                      <w:szCs w:val="28"/>
                    </w:rPr>
                    <w:sym w:font="Wingdings" w:char="F02D"/>
                  </w:r>
                  <w:r w:rsidRPr="00306952">
                    <w:rPr>
                      <w:rFonts w:cs="Arial"/>
                      <w:sz w:val="28"/>
                      <w:szCs w:val="28"/>
                      <w:lang w:val="en-US"/>
                    </w:rPr>
                    <w:t xml:space="preserve">  sdeg@wanadoo.fr</w:t>
                  </w:r>
                </w:p>
                <w:p w:rsidR="00F46ACF" w:rsidRPr="00ED7EA1" w:rsidRDefault="00F46ACF" w:rsidP="00ED7EA1">
                  <w:pPr>
                    <w:spacing w:line="240" w:lineRule="exact"/>
                    <w:rPr>
                      <w:rFonts w:cs="Arial"/>
                      <w:b/>
                      <w:sz w:val="18"/>
                      <w:lang w:val="en-US"/>
                    </w:rPr>
                  </w:pPr>
                </w:p>
                <w:p w:rsidR="00F46ACF" w:rsidRPr="00ED7EA1" w:rsidRDefault="00F46ACF" w:rsidP="00ED7EA1">
                  <w:pPr>
                    <w:rPr>
                      <w:lang w:val="en-US"/>
                    </w:rPr>
                  </w:pPr>
                </w:p>
              </w:txbxContent>
            </v:textbox>
          </v:shape>
        </w:pict>
      </w:r>
    </w:p>
    <w:p w:rsidR="00ED7EA1" w:rsidRDefault="00ED7EA1" w:rsidP="00ED7EA1">
      <w:pPr>
        <w:pStyle w:val="Pieddepage"/>
        <w:tabs>
          <w:tab w:val="clear" w:pos="4536"/>
          <w:tab w:val="clear" w:pos="9072"/>
        </w:tabs>
        <w:rPr>
          <w:rFonts w:cs="Arial"/>
        </w:rPr>
      </w:pPr>
      <w:r w:rsidRPr="00306952">
        <w:rPr>
          <w:rFonts w:cs="Arial"/>
          <w:noProof/>
        </w:rPr>
        <w:drawing>
          <wp:inline distT="0" distB="0" distL="0" distR="0">
            <wp:extent cx="1657350" cy="1600200"/>
            <wp:effectExtent l="19050" t="0" r="0" b="0"/>
            <wp:docPr id="4" name="Image 2" descr="C:\Users\Public\Documents\LOGO\Sdeg 2013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LOGO\Sdeg 2013 40%.jpg"/>
                    <pic:cNvPicPr>
                      <a:picLocks noChangeAspect="1" noChangeArrowheads="1"/>
                    </pic:cNvPicPr>
                  </pic:nvPicPr>
                  <pic:blipFill>
                    <a:blip r:embed="rId6" cstate="print"/>
                    <a:srcRect/>
                    <a:stretch>
                      <a:fillRect/>
                    </a:stretch>
                  </pic:blipFill>
                  <pic:spPr bwMode="auto">
                    <a:xfrm>
                      <a:off x="0" y="0"/>
                      <a:ext cx="1657350" cy="1600200"/>
                    </a:xfrm>
                    <a:prstGeom prst="rect">
                      <a:avLst/>
                    </a:prstGeom>
                    <a:noFill/>
                    <a:ln w="9525">
                      <a:noFill/>
                      <a:miter lim="800000"/>
                      <a:headEnd/>
                      <a:tailEnd/>
                    </a:ln>
                  </pic:spPr>
                </pic:pic>
              </a:graphicData>
            </a:graphic>
          </wp:inline>
        </w:drawing>
      </w:r>
    </w:p>
    <w:p w:rsidR="00ED7EA1" w:rsidRDefault="00ED7EA1" w:rsidP="00ED7EA1">
      <w:pPr>
        <w:spacing w:line="240" w:lineRule="exact"/>
        <w:rPr>
          <w:rFonts w:cs="Arial"/>
          <w:sz w:val="22"/>
        </w:rPr>
      </w:pPr>
    </w:p>
    <w:p w:rsidR="00ED7EA1" w:rsidRDefault="00ED7EA1" w:rsidP="00ED7EA1">
      <w:pPr>
        <w:spacing w:line="240" w:lineRule="exact"/>
        <w:rPr>
          <w:rFonts w:cs="Arial"/>
          <w:sz w:val="22"/>
        </w:rPr>
      </w:pPr>
    </w:p>
    <w:p w:rsidR="00ED7EA1" w:rsidRDefault="00ED7EA1" w:rsidP="00ED7EA1">
      <w:pPr>
        <w:pStyle w:val="Corpsdetexte3"/>
        <w:rPr>
          <w:rFonts w:ascii="Arial" w:hAnsi="Arial" w:cs="Arial"/>
          <w:sz w:val="44"/>
        </w:rPr>
      </w:pPr>
    </w:p>
    <w:p w:rsidR="00ED7EA1" w:rsidRDefault="00ED7EA1" w:rsidP="00ED7EA1">
      <w:pPr>
        <w:pStyle w:val="Corpsdetexte3"/>
        <w:rPr>
          <w:rFonts w:ascii="Arial" w:hAnsi="Arial" w:cs="Arial"/>
          <w:sz w:val="44"/>
        </w:rPr>
      </w:pPr>
      <w:r>
        <w:rPr>
          <w:rFonts w:ascii="Arial" w:hAnsi="Arial" w:cs="Arial"/>
          <w:sz w:val="44"/>
        </w:rPr>
        <w:t>BORDEREAU DES PRIX</w:t>
      </w:r>
    </w:p>
    <w:p w:rsidR="00ED7EA1" w:rsidRDefault="00ED7EA1" w:rsidP="00ED7EA1">
      <w:pPr>
        <w:pStyle w:val="Corpsdetexte3"/>
        <w:rPr>
          <w:rFonts w:ascii="Arial" w:hAnsi="Arial" w:cs="Arial"/>
          <w:sz w:val="44"/>
        </w:rPr>
      </w:pPr>
    </w:p>
    <w:p w:rsidR="00ED7EA1" w:rsidRDefault="00ED7EA1" w:rsidP="00ED7EA1">
      <w:pPr>
        <w:pStyle w:val="Corpsdetexte3"/>
        <w:rPr>
          <w:rFonts w:ascii="Arial" w:hAnsi="Arial" w:cs="Arial"/>
          <w:sz w:val="44"/>
        </w:rPr>
      </w:pPr>
    </w:p>
    <w:p w:rsidR="00ED7EA1" w:rsidRDefault="00ED7EA1" w:rsidP="00ED7EA1">
      <w:pPr>
        <w:pStyle w:val="Corpsdetexte3"/>
        <w:rPr>
          <w:rFonts w:ascii="Arial" w:hAnsi="Arial" w:cs="Arial"/>
          <w:sz w:val="44"/>
        </w:rPr>
      </w:pPr>
    </w:p>
    <w:p w:rsidR="00ED7EA1" w:rsidRDefault="00ED7EA1" w:rsidP="00ED7EA1">
      <w:pPr>
        <w:pStyle w:val="Corpsdetexte3"/>
        <w:rPr>
          <w:rFonts w:ascii="Arial" w:hAnsi="Arial" w:cs="Arial"/>
          <w:sz w:val="44"/>
        </w:rPr>
      </w:pPr>
      <w:r>
        <w:rPr>
          <w:rFonts w:ascii="Arial" w:hAnsi="Arial" w:cs="Arial"/>
          <w:sz w:val="44"/>
        </w:rPr>
        <w:t>ANNEXES</w:t>
      </w:r>
    </w:p>
    <w:p w:rsidR="00ED7EA1" w:rsidRDefault="00ED7EA1" w:rsidP="00ED7EA1">
      <w:pPr>
        <w:pStyle w:val="Pieddepage"/>
        <w:tabs>
          <w:tab w:val="clear" w:pos="4536"/>
          <w:tab w:val="clear" w:pos="9072"/>
        </w:tabs>
        <w:rPr>
          <w:rFonts w:cs="Arial"/>
        </w:rPr>
      </w:pPr>
    </w:p>
    <w:p w:rsidR="00ED7EA1" w:rsidRDefault="00ED7EA1" w:rsidP="00ED7EA1">
      <w:pPr>
        <w:tabs>
          <w:tab w:val="left" w:pos="2445"/>
        </w:tabs>
        <w:rPr>
          <w:rFonts w:cs="Arial"/>
        </w:rPr>
      </w:pPr>
      <w:r>
        <w:rPr>
          <w:rFonts w:cs="Arial"/>
        </w:rPr>
        <w:tab/>
      </w:r>
    </w:p>
    <w:p w:rsidR="00ED7EA1" w:rsidRDefault="00ED7EA1" w:rsidP="00ED7EA1">
      <w:pPr>
        <w:rPr>
          <w:rFonts w:cs="Arial"/>
        </w:rPr>
      </w:pPr>
    </w:p>
    <w:p w:rsidR="00ED7EA1" w:rsidRDefault="00ED7EA1" w:rsidP="00ED7EA1">
      <w:pPr>
        <w:jc w:val="center"/>
        <w:rPr>
          <w:rFonts w:cs="Arial"/>
          <w:sz w:val="36"/>
        </w:rPr>
      </w:pPr>
    </w:p>
    <w:p w:rsidR="00ED7EA1" w:rsidRDefault="00ED7EA1" w:rsidP="00ED7EA1">
      <w:pPr>
        <w:jc w:val="center"/>
        <w:rPr>
          <w:rFonts w:cs="Arial"/>
          <w:sz w:val="36"/>
        </w:rPr>
      </w:pPr>
    </w:p>
    <w:p w:rsidR="00ED7EA1" w:rsidRDefault="00ED7EA1" w:rsidP="00ED7EA1">
      <w:pPr>
        <w:pStyle w:val="Titre8"/>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p w:rsidR="00ED7EA1" w:rsidRDefault="00ED7EA1" w:rsidP="00ED7EA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72"/>
      </w:tblGrid>
      <w:tr w:rsidR="00ED7EA1" w:rsidTr="00ED7EA1">
        <w:tc>
          <w:tcPr>
            <w:tcW w:w="5172" w:type="dxa"/>
            <w:tcBorders>
              <w:top w:val="single" w:sz="18" w:space="0" w:color="auto"/>
              <w:left w:val="single" w:sz="18" w:space="0" w:color="auto"/>
              <w:bottom w:val="single" w:sz="8" w:space="0" w:color="auto"/>
              <w:right w:val="single" w:sz="18" w:space="0" w:color="auto"/>
            </w:tcBorders>
          </w:tcPr>
          <w:p w:rsidR="00ED7EA1" w:rsidRDefault="00ED7EA1" w:rsidP="00ED7EA1">
            <w:pPr>
              <w:jc w:val="both"/>
              <w:rPr>
                <w:rFonts w:cs="Arial"/>
              </w:rPr>
            </w:pPr>
            <w:r>
              <w:rPr>
                <w:rFonts w:cs="Arial"/>
                <w:sz w:val="22"/>
              </w:rPr>
              <w:t>Lu et accepté sans réserve,</w:t>
            </w:r>
          </w:p>
        </w:tc>
      </w:tr>
      <w:tr w:rsidR="00ED7EA1" w:rsidTr="00ED7EA1">
        <w:tc>
          <w:tcPr>
            <w:tcW w:w="5172" w:type="dxa"/>
            <w:tcBorders>
              <w:top w:val="single" w:sz="8" w:space="0" w:color="auto"/>
              <w:left w:val="single" w:sz="18" w:space="0" w:color="auto"/>
              <w:bottom w:val="single" w:sz="8" w:space="0" w:color="auto"/>
              <w:right w:val="single" w:sz="18" w:space="0" w:color="auto"/>
            </w:tcBorders>
          </w:tcPr>
          <w:p w:rsidR="00ED7EA1" w:rsidRDefault="00ED7EA1" w:rsidP="00ED7EA1">
            <w:pPr>
              <w:jc w:val="both"/>
              <w:rPr>
                <w:rFonts w:cs="Arial"/>
              </w:rPr>
            </w:pPr>
            <w:r>
              <w:rPr>
                <w:rFonts w:cs="Arial"/>
                <w:sz w:val="22"/>
              </w:rPr>
              <w:t>A</w:t>
            </w:r>
          </w:p>
        </w:tc>
      </w:tr>
      <w:tr w:rsidR="00ED7EA1" w:rsidTr="00ED7EA1">
        <w:tc>
          <w:tcPr>
            <w:tcW w:w="5172" w:type="dxa"/>
            <w:tcBorders>
              <w:top w:val="single" w:sz="8" w:space="0" w:color="auto"/>
              <w:left w:val="single" w:sz="18" w:space="0" w:color="auto"/>
              <w:bottom w:val="single" w:sz="8" w:space="0" w:color="auto"/>
              <w:right w:val="single" w:sz="18" w:space="0" w:color="auto"/>
            </w:tcBorders>
          </w:tcPr>
          <w:p w:rsidR="00ED7EA1" w:rsidRDefault="00ED7EA1" w:rsidP="00ED7EA1">
            <w:pPr>
              <w:jc w:val="both"/>
              <w:rPr>
                <w:rFonts w:cs="Arial"/>
              </w:rPr>
            </w:pPr>
            <w:r>
              <w:rPr>
                <w:rFonts w:cs="Arial"/>
                <w:sz w:val="22"/>
              </w:rPr>
              <w:t>Le</w:t>
            </w:r>
          </w:p>
        </w:tc>
      </w:tr>
      <w:tr w:rsidR="00ED7EA1" w:rsidTr="00ED7EA1">
        <w:trPr>
          <w:cantSplit/>
          <w:trHeight w:val="1440"/>
        </w:trPr>
        <w:tc>
          <w:tcPr>
            <w:tcW w:w="5172" w:type="dxa"/>
            <w:tcBorders>
              <w:top w:val="single" w:sz="8" w:space="0" w:color="auto"/>
              <w:left w:val="single" w:sz="18" w:space="0" w:color="auto"/>
              <w:bottom w:val="single" w:sz="18" w:space="0" w:color="auto"/>
              <w:right w:val="single" w:sz="18" w:space="0" w:color="auto"/>
            </w:tcBorders>
          </w:tcPr>
          <w:p w:rsidR="00ED7EA1" w:rsidRDefault="00ED7EA1" w:rsidP="00ED7EA1">
            <w:pPr>
              <w:jc w:val="both"/>
              <w:rPr>
                <w:rFonts w:cs="Arial"/>
              </w:rPr>
            </w:pPr>
            <w:r>
              <w:rPr>
                <w:rFonts w:cs="Arial"/>
                <w:sz w:val="22"/>
              </w:rPr>
              <w:t>L’Entrepreneur,</w:t>
            </w:r>
          </w:p>
          <w:p w:rsidR="00ED7EA1" w:rsidRDefault="00ED7EA1" w:rsidP="00ED7EA1">
            <w:pPr>
              <w:jc w:val="both"/>
              <w:rPr>
                <w:rFonts w:cs="Arial"/>
              </w:rPr>
            </w:pPr>
          </w:p>
          <w:p w:rsidR="00ED7EA1" w:rsidRDefault="00ED7EA1" w:rsidP="00ED7EA1">
            <w:pPr>
              <w:jc w:val="both"/>
              <w:rPr>
                <w:rFonts w:cs="Arial"/>
              </w:rPr>
            </w:pPr>
          </w:p>
          <w:p w:rsidR="00ED7EA1" w:rsidRDefault="00ED7EA1" w:rsidP="00ED7EA1">
            <w:pPr>
              <w:jc w:val="both"/>
              <w:rPr>
                <w:rFonts w:cs="Arial"/>
              </w:rPr>
            </w:pPr>
          </w:p>
          <w:p w:rsidR="00ED7EA1" w:rsidRDefault="00ED7EA1" w:rsidP="00ED7EA1">
            <w:pPr>
              <w:jc w:val="both"/>
              <w:rPr>
                <w:rFonts w:cs="Arial"/>
              </w:rPr>
            </w:pPr>
          </w:p>
        </w:tc>
      </w:tr>
    </w:tbl>
    <w:p w:rsidR="00FB7BC7" w:rsidRDefault="00FB7BC7" w:rsidP="00FB7BC7">
      <w:pPr>
        <w:rPr>
          <w:b/>
          <w:i/>
          <w:color w:val="000080"/>
          <w:sz w:val="28"/>
        </w:rPr>
      </w:pPr>
    </w:p>
    <w:p w:rsidR="00FB7BC7" w:rsidRDefault="00FB7BC7" w:rsidP="00FB7BC7">
      <w:pPr>
        <w:rPr>
          <w:b/>
          <w:i/>
          <w:color w:val="000080"/>
          <w:sz w:val="28"/>
        </w:rPr>
      </w:pPr>
      <w:r>
        <w:rPr>
          <w:b/>
          <w:i/>
          <w:color w:val="000080"/>
          <w:sz w:val="28"/>
        </w:rPr>
        <w:t>1 - LIGNES MOYENNE TENSION</w:t>
      </w:r>
    </w:p>
    <w:p w:rsidR="00FB7BC7" w:rsidRDefault="00FB7BC7" w:rsidP="00FB7BC7">
      <w:pPr>
        <w:rPr>
          <w:sz w:val="24"/>
        </w:rPr>
      </w:pPr>
    </w:p>
    <w:p w:rsidR="00FB7BC7" w:rsidRDefault="00FB7BC7" w:rsidP="00FB7BC7">
      <w:pPr>
        <w:rPr>
          <w:sz w:val="24"/>
        </w:rPr>
      </w:pPr>
    </w:p>
    <w:p w:rsidR="00FB7BC7" w:rsidRDefault="00FB7BC7" w:rsidP="00FB7BC7">
      <w:pPr>
        <w:pStyle w:val="Titre1"/>
      </w:pPr>
      <w:r>
        <w:tab/>
        <w:t>Facturation au prix kilométrique</w:t>
      </w:r>
    </w:p>
    <w:p w:rsidR="00FB7BC7" w:rsidRDefault="00FB7BC7" w:rsidP="00FB7BC7">
      <w:pPr>
        <w:rPr>
          <w:sz w:val="24"/>
        </w:rPr>
      </w:pPr>
    </w:p>
    <w:p w:rsidR="00FB7BC7" w:rsidRDefault="00FB7BC7" w:rsidP="00FB7BC7">
      <w:pPr>
        <w:rPr>
          <w:sz w:val="24"/>
        </w:rPr>
      </w:pPr>
    </w:p>
    <w:p w:rsidR="00FB7BC7" w:rsidRDefault="00ED7EA1" w:rsidP="00FB7BC7">
      <w:pPr>
        <w:rPr>
          <w:sz w:val="24"/>
        </w:rPr>
      </w:pPr>
      <w:r>
        <w:rPr>
          <w:sz w:val="24"/>
        </w:rPr>
        <w:tab/>
        <w:t>Les lignes HTA</w:t>
      </w:r>
      <w:r w:rsidR="00FB7BC7">
        <w:rPr>
          <w:sz w:val="24"/>
        </w:rPr>
        <w:t xml:space="preserve"> sont facturées a</w:t>
      </w:r>
      <w:r>
        <w:rPr>
          <w:sz w:val="24"/>
        </w:rPr>
        <w:t>u prix kilométrique article G-15.</w:t>
      </w:r>
    </w:p>
    <w:p w:rsidR="00FB7BC7" w:rsidRDefault="00FB7BC7" w:rsidP="00FB7BC7">
      <w:pPr>
        <w:rPr>
          <w:sz w:val="24"/>
        </w:rPr>
      </w:pPr>
    </w:p>
    <w:p w:rsidR="00FB7BC7" w:rsidRDefault="00FB7BC7" w:rsidP="00FB7BC7">
      <w:pPr>
        <w:rPr>
          <w:sz w:val="24"/>
        </w:rPr>
      </w:pPr>
      <w:r>
        <w:rPr>
          <w:sz w:val="24"/>
        </w:rPr>
        <w:tab/>
        <w:t>Tout support équipé de chaînes d'ancrage fera l'objet d'une plus value :</w:t>
      </w:r>
    </w:p>
    <w:p w:rsidR="00FB7BC7" w:rsidRDefault="00FB7BC7" w:rsidP="00FB7BC7">
      <w:pPr>
        <w:rPr>
          <w:sz w:val="24"/>
        </w:rPr>
      </w:pPr>
    </w:p>
    <w:p w:rsidR="00FB7BC7" w:rsidRDefault="00945D7C" w:rsidP="00FB7BC7">
      <w:pPr>
        <w:ind w:left="1701" w:hanging="283"/>
        <w:jc w:val="both"/>
        <w:rPr>
          <w:sz w:val="24"/>
        </w:rPr>
      </w:pPr>
      <w:r>
        <w:rPr>
          <w:sz w:val="24"/>
        </w:rPr>
        <w:sym w:font="Wingdings" w:char="F0F0"/>
      </w:r>
      <w:r w:rsidR="00FB7BC7">
        <w:rPr>
          <w:sz w:val="24"/>
        </w:rPr>
        <w:t xml:space="preserve"> </w:t>
      </w:r>
      <w:proofErr w:type="gramStart"/>
      <w:r w:rsidR="00FB7BC7">
        <w:rPr>
          <w:sz w:val="24"/>
        </w:rPr>
        <w:t>support</w:t>
      </w:r>
      <w:proofErr w:type="gramEnd"/>
      <w:r w:rsidR="00FB7BC7">
        <w:rPr>
          <w:sz w:val="24"/>
        </w:rPr>
        <w:t xml:space="preserve"> sans appareill</w:t>
      </w:r>
      <w:r w:rsidR="00ED7EA1">
        <w:rPr>
          <w:sz w:val="24"/>
        </w:rPr>
        <w:t>age : article G-18</w:t>
      </w:r>
      <w:r w:rsidR="00FB7BC7">
        <w:rPr>
          <w:sz w:val="24"/>
        </w:rPr>
        <w:t>c (la plus value intégrant l'armement, les chaînes d'ancrage, les ponts, les connecteurs et manchons à broches ainsi que l'effort, la classe et la hauteur du support)</w:t>
      </w:r>
    </w:p>
    <w:p w:rsidR="00FB7BC7" w:rsidRDefault="00FB7BC7" w:rsidP="00FB7BC7">
      <w:pPr>
        <w:ind w:left="1701" w:hanging="283"/>
        <w:jc w:val="both"/>
        <w:rPr>
          <w:sz w:val="24"/>
        </w:rPr>
      </w:pPr>
    </w:p>
    <w:p w:rsidR="00FB7BC7" w:rsidRDefault="00945D7C" w:rsidP="00FB7BC7">
      <w:pPr>
        <w:ind w:left="1701" w:hanging="283"/>
        <w:jc w:val="both"/>
        <w:rPr>
          <w:sz w:val="24"/>
        </w:rPr>
      </w:pPr>
      <w:r>
        <w:rPr>
          <w:sz w:val="24"/>
        </w:rPr>
        <w:sym w:font="Wingdings" w:char="F0F0"/>
      </w:r>
      <w:r w:rsidR="00ED7EA1">
        <w:rPr>
          <w:sz w:val="24"/>
        </w:rPr>
        <w:t xml:space="preserve"> </w:t>
      </w:r>
      <w:proofErr w:type="gramStart"/>
      <w:r w:rsidR="00ED7EA1">
        <w:rPr>
          <w:sz w:val="24"/>
        </w:rPr>
        <w:t>support</w:t>
      </w:r>
      <w:proofErr w:type="gramEnd"/>
      <w:r w:rsidR="00ED7EA1">
        <w:rPr>
          <w:sz w:val="24"/>
        </w:rPr>
        <w:t xml:space="preserve"> avec IACM articles G-18a ou G-18</w:t>
      </w:r>
      <w:r w:rsidR="00FB7BC7">
        <w:rPr>
          <w:sz w:val="24"/>
        </w:rPr>
        <w:t>b</w:t>
      </w:r>
    </w:p>
    <w:p w:rsidR="00FB7BC7" w:rsidRDefault="00FB7BC7" w:rsidP="00FB7BC7">
      <w:pPr>
        <w:rPr>
          <w:sz w:val="24"/>
        </w:rPr>
      </w:pPr>
    </w:p>
    <w:p w:rsidR="00FB7BC7" w:rsidRDefault="00FB7BC7" w:rsidP="00FB7BC7">
      <w:pPr>
        <w:rPr>
          <w:sz w:val="24"/>
        </w:rPr>
      </w:pPr>
      <w:r>
        <w:rPr>
          <w:sz w:val="24"/>
        </w:rPr>
        <w:tab/>
        <w:t>Ces prix ne comprennent pas les supports d'extrémité :</w:t>
      </w:r>
    </w:p>
    <w:p w:rsidR="00FB7BC7" w:rsidRDefault="00FB7BC7" w:rsidP="00FB7BC7">
      <w:pPr>
        <w:rPr>
          <w:sz w:val="24"/>
        </w:rPr>
      </w:pPr>
    </w:p>
    <w:p w:rsidR="00FB7BC7" w:rsidRDefault="00945D7C" w:rsidP="00FB7BC7">
      <w:pPr>
        <w:ind w:left="1701" w:hanging="283"/>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support de départ ou poteau de dérivation à l'origine de la ligne lorsque ce support doit être implanté sur une ligne existante. Par contre l'armement, les chaînes d'ancrages dérivés ainsi que les ponts isolés, et l'ensemble des dispositifs de connexion (principale et dérivation) sont inclus dans le prix kilométrique,</w:t>
      </w:r>
    </w:p>
    <w:p w:rsidR="00FB7BC7" w:rsidRDefault="00FB7BC7" w:rsidP="00FB7BC7">
      <w:pPr>
        <w:ind w:left="1701" w:hanging="283"/>
        <w:jc w:val="both"/>
        <w:rPr>
          <w:sz w:val="24"/>
        </w:rPr>
      </w:pPr>
    </w:p>
    <w:p w:rsidR="00FB7BC7" w:rsidRDefault="00945D7C" w:rsidP="00FB7BC7">
      <w:pPr>
        <w:ind w:left="1701" w:hanging="283"/>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support implanté à proximité immédiate et uniquement le support dans le cas de raccordement sous-tension,</w:t>
      </w:r>
    </w:p>
    <w:p w:rsidR="00FB7BC7" w:rsidRDefault="00FB7BC7" w:rsidP="00FB7BC7">
      <w:pPr>
        <w:ind w:left="1701" w:hanging="283"/>
        <w:jc w:val="both"/>
        <w:rPr>
          <w:sz w:val="24"/>
        </w:rPr>
      </w:pPr>
    </w:p>
    <w:p w:rsidR="00FB7BC7" w:rsidRDefault="00945D7C" w:rsidP="00FB7BC7">
      <w:pPr>
        <w:ind w:left="1701" w:hanging="283"/>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support d'arrêt de raccordement </w:t>
      </w:r>
      <w:proofErr w:type="spellStart"/>
      <w:r w:rsidR="00FB7BC7">
        <w:rPr>
          <w:sz w:val="24"/>
        </w:rPr>
        <w:t>aérosouterrain</w:t>
      </w:r>
      <w:proofErr w:type="spellEnd"/>
      <w:r w:rsidR="00FB7BC7">
        <w:rPr>
          <w:sz w:val="24"/>
        </w:rPr>
        <w:t>. Par contre l'ancrage et l'armement sont inclus dans le prix kilométrique. Cependant, lorsque la dérivation est établie à partir d'une ligne neuve, faisant partie des travaux, le poteau de dérivation est compris dans le prix kilométrique de la ligne principale.</w:t>
      </w:r>
    </w:p>
    <w:p w:rsidR="00FB7BC7" w:rsidRDefault="00FB7BC7" w:rsidP="00FB7BC7">
      <w:pPr>
        <w:ind w:left="1701" w:hanging="283"/>
        <w:jc w:val="both"/>
        <w:rPr>
          <w:sz w:val="24"/>
        </w:rPr>
      </w:pPr>
    </w:p>
    <w:p w:rsidR="00FB7BC7" w:rsidRDefault="00FB7BC7" w:rsidP="00FB7BC7">
      <w:pPr>
        <w:ind w:left="1701" w:hanging="283"/>
        <w:jc w:val="both"/>
        <w:rPr>
          <w:sz w:val="24"/>
        </w:rPr>
      </w:pPr>
    </w:p>
    <w:p w:rsidR="00FB7BC7" w:rsidRDefault="00FB7BC7" w:rsidP="00FB7BC7">
      <w:pPr>
        <w:ind w:left="709"/>
        <w:jc w:val="both"/>
        <w:rPr>
          <w:sz w:val="24"/>
        </w:rPr>
      </w:pPr>
      <w:r>
        <w:rPr>
          <w:sz w:val="24"/>
        </w:rPr>
        <w:t xml:space="preserve">La </w:t>
      </w:r>
      <w:proofErr w:type="spellStart"/>
      <w:r>
        <w:rPr>
          <w:sz w:val="24"/>
        </w:rPr>
        <w:t>surimplantation</w:t>
      </w:r>
      <w:proofErr w:type="spellEnd"/>
      <w:r>
        <w:rPr>
          <w:sz w:val="24"/>
        </w:rPr>
        <w:t xml:space="preserve"> éventuelle de supports est intégrée au prix kilométrique de même que la mis en place des contre- plaques universelles éventuelles.</w:t>
      </w:r>
    </w:p>
    <w:p w:rsidR="00FB7BC7" w:rsidRDefault="00FB7BC7" w:rsidP="00FB7BC7">
      <w:pPr>
        <w:rPr>
          <w:sz w:val="24"/>
        </w:rPr>
      </w:pPr>
    </w:p>
    <w:p w:rsidR="00FB7BC7" w:rsidRDefault="00FB7BC7" w:rsidP="00FB7BC7">
      <w:pPr>
        <w:rPr>
          <w:sz w:val="24"/>
        </w:rPr>
      </w:pPr>
    </w:p>
    <w:p w:rsidR="00FB7BC7" w:rsidRDefault="00FB7BC7" w:rsidP="00FB7BC7">
      <w:pPr>
        <w:rPr>
          <w:b/>
          <w:i/>
          <w:iCs/>
          <w:color w:val="008000"/>
          <w:sz w:val="28"/>
        </w:rPr>
      </w:pPr>
      <w:r>
        <w:rPr>
          <w:b/>
          <w:i/>
          <w:iCs/>
          <w:color w:val="008000"/>
          <w:sz w:val="28"/>
        </w:rPr>
        <w:tab/>
        <w:t>Facturation à l'unité</w:t>
      </w:r>
    </w:p>
    <w:p w:rsidR="00FB7BC7" w:rsidRDefault="00FB7BC7" w:rsidP="00FB7BC7">
      <w:pPr>
        <w:rPr>
          <w:sz w:val="24"/>
        </w:rPr>
      </w:pPr>
    </w:p>
    <w:p w:rsidR="00FB7BC7" w:rsidRDefault="00FB7BC7" w:rsidP="00FB7BC7">
      <w:pPr>
        <w:ind w:left="1418"/>
        <w:jc w:val="both"/>
        <w:rPr>
          <w:sz w:val="24"/>
        </w:rPr>
      </w:pPr>
      <w:r>
        <w:rPr>
          <w:sz w:val="24"/>
        </w:rPr>
        <w:t xml:space="preserve">Les lignes </w:t>
      </w:r>
      <w:proofErr w:type="gramStart"/>
      <w:r>
        <w:rPr>
          <w:sz w:val="24"/>
        </w:rPr>
        <w:t>moyenne</w:t>
      </w:r>
      <w:proofErr w:type="gramEnd"/>
      <w:r>
        <w:rPr>
          <w:sz w:val="24"/>
        </w:rPr>
        <w:t xml:space="preserve"> tension sur isolateurs suspendus ou en câble torsadé sont facturées à l'unité.</w:t>
      </w:r>
    </w:p>
    <w:p w:rsidR="00FB7BC7" w:rsidRDefault="00FB7BC7" w:rsidP="00FB7BC7">
      <w:pPr>
        <w:rPr>
          <w:sz w:val="24"/>
        </w:rPr>
      </w:pPr>
    </w:p>
    <w:p w:rsidR="00FB7BC7" w:rsidRDefault="00FB7BC7" w:rsidP="00FB7BC7">
      <w:pPr>
        <w:rPr>
          <w:sz w:val="24"/>
        </w:rPr>
      </w:pPr>
    </w:p>
    <w:p w:rsidR="00FB7BC7" w:rsidRDefault="00FB7BC7" w:rsidP="00FB7BC7">
      <w:pPr>
        <w:rPr>
          <w:sz w:val="24"/>
        </w:rPr>
      </w:pPr>
    </w:p>
    <w:p w:rsidR="00FB7BC7" w:rsidRDefault="00FB7BC7" w:rsidP="00FB7BC7">
      <w:pPr>
        <w:rPr>
          <w:sz w:val="24"/>
        </w:rPr>
      </w:pPr>
    </w:p>
    <w:p w:rsidR="00FB7BC7" w:rsidRDefault="00FB7BC7" w:rsidP="00FB7BC7">
      <w:pPr>
        <w:rPr>
          <w:sz w:val="24"/>
        </w:rPr>
      </w:pPr>
    </w:p>
    <w:p w:rsidR="00FB7BC7" w:rsidRDefault="00FB7BC7" w:rsidP="00FB7BC7">
      <w:pPr>
        <w:rPr>
          <w:sz w:val="24"/>
        </w:rPr>
      </w:pPr>
    </w:p>
    <w:p w:rsidR="00ED7EA1" w:rsidRDefault="00ED7EA1" w:rsidP="00FB7BC7">
      <w:pPr>
        <w:rPr>
          <w:sz w:val="24"/>
        </w:rPr>
      </w:pPr>
    </w:p>
    <w:p w:rsidR="00945D7C" w:rsidRDefault="00945D7C" w:rsidP="00FB7BC7">
      <w:pPr>
        <w:rPr>
          <w:sz w:val="24"/>
        </w:rPr>
      </w:pPr>
    </w:p>
    <w:p w:rsidR="00945D7C" w:rsidRDefault="00945D7C" w:rsidP="00FB7BC7">
      <w:pPr>
        <w:rPr>
          <w:sz w:val="24"/>
        </w:rPr>
      </w:pPr>
    </w:p>
    <w:p w:rsidR="00FB7BC7" w:rsidRDefault="00FB7BC7" w:rsidP="00FB7BC7">
      <w:pPr>
        <w:rPr>
          <w:b/>
          <w:i/>
          <w:color w:val="000080"/>
          <w:sz w:val="28"/>
        </w:rPr>
      </w:pPr>
      <w:r>
        <w:rPr>
          <w:b/>
          <w:i/>
          <w:color w:val="000080"/>
          <w:sz w:val="28"/>
        </w:rPr>
        <w:t>2 - LIGNES BASSE TENSION</w:t>
      </w:r>
    </w:p>
    <w:p w:rsidR="00FB7BC7" w:rsidRDefault="00FB7BC7" w:rsidP="00FB7BC7">
      <w:pPr>
        <w:rPr>
          <w:sz w:val="24"/>
        </w:rPr>
      </w:pPr>
    </w:p>
    <w:p w:rsidR="00FB7BC7" w:rsidRDefault="00FB7BC7" w:rsidP="00FB7BC7">
      <w:pPr>
        <w:ind w:left="709"/>
        <w:jc w:val="both"/>
        <w:rPr>
          <w:sz w:val="24"/>
        </w:rPr>
      </w:pPr>
      <w:r>
        <w:rPr>
          <w:sz w:val="24"/>
        </w:rPr>
        <w:t>Les prix kilométriques de réseaux en câbles multiconducteurs posés ou tendus sur façade ou sur support comprennent tous dispositifs de fixation, d'ancrage (pince et chaîne ou pince isolée) de suspension et raccords éventuels, les dispositifs d'avancement ou de protection nécessaires au respect de l'arrêté technique, la mise en place des contre-plaques</w:t>
      </w:r>
      <w:r w:rsidR="00015DCF">
        <w:rPr>
          <w:sz w:val="24"/>
        </w:rPr>
        <w:t xml:space="preserve"> universelles é</w:t>
      </w:r>
      <w:r>
        <w:rPr>
          <w:sz w:val="24"/>
        </w:rPr>
        <w:t>ventuelles.</w:t>
      </w:r>
    </w:p>
    <w:p w:rsidR="00FB7BC7" w:rsidRDefault="00FB7BC7" w:rsidP="00FB7BC7">
      <w:pPr>
        <w:ind w:left="709"/>
        <w:rPr>
          <w:sz w:val="24"/>
        </w:rPr>
      </w:pPr>
    </w:p>
    <w:p w:rsidR="00FB7BC7" w:rsidRDefault="00FB7BC7" w:rsidP="00FB7BC7">
      <w:pPr>
        <w:ind w:left="709"/>
        <w:rPr>
          <w:sz w:val="24"/>
        </w:rPr>
      </w:pPr>
      <w:r>
        <w:rPr>
          <w:sz w:val="24"/>
        </w:rPr>
        <w:t>Sont exclus de ces prix kilométriques :</w:t>
      </w:r>
    </w:p>
    <w:p w:rsidR="00FB7BC7" w:rsidRDefault="00FB7BC7" w:rsidP="00FB7BC7">
      <w:pPr>
        <w:ind w:left="709"/>
        <w:rPr>
          <w:sz w:val="24"/>
        </w:rPr>
      </w:pPr>
    </w:p>
    <w:p w:rsidR="00FB7BC7" w:rsidRDefault="00945D7C" w:rsidP="00FB7BC7">
      <w:pPr>
        <w:ind w:left="1418"/>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fourniture des conducteurs,</w:t>
      </w:r>
    </w:p>
    <w:p w:rsidR="00FB7BC7" w:rsidRDefault="00945D7C" w:rsidP="00FB7BC7">
      <w:pPr>
        <w:ind w:left="1418"/>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fourniture et mise en place des supports de toute nature,</w:t>
      </w:r>
    </w:p>
    <w:p w:rsidR="00FB7BC7" w:rsidRDefault="00945D7C" w:rsidP="00FB7BC7">
      <w:pPr>
        <w:ind w:left="1418"/>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reprise des réseaux existants et branchements,</w:t>
      </w:r>
    </w:p>
    <w:p w:rsidR="00FB7BC7" w:rsidRDefault="00945D7C" w:rsidP="00FB7BC7">
      <w:pPr>
        <w:ind w:left="1418"/>
        <w:rPr>
          <w:sz w:val="24"/>
        </w:rPr>
      </w:pPr>
      <w:r>
        <w:rPr>
          <w:sz w:val="24"/>
        </w:rPr>
        <w:sym w:font="Wingdings" w:char="F0F0"/>
      </w:r>
      <w:r w:rsidR="00FB7BC7">
        <w:rPr>
          <w:sz w:val="24"/>
        </w:rPr>
        <w:t xml:space="preserve"> </w:t>
      </w:r>
      <w:proofErr w:type="gramStart"/>
      <w:r w:rsidR="00FB7BC7">
        <w:rPr>
          <w:sz w:val="24"/>
        </w:rPr>
        <w:t>les</w:t>
      </w:r>
      <w:proofErr w:type="gramEnd"/>
      <w:r w:rsidR="00FB7BC7">
        <w:rPr>
          <w:sz w:val="24"/>
        </w:rPr>
        <w:t xml:space="preserve"> mises à la terre.</w:t>
      </w:r>
    </w:p>
    <w:p w:rsidR="00FB7BC7" w:rsidRDefault="00FB7BC7" w:rsidP="00FB7BC7">
      <w:pPr>
        <w:rPr>
          <w:sz w:val="24"/>
        </w:rPr>
      </w:pPr>
    </w:p>
    <w:p w:rsidR="00FB7BC7" w:rsidRDefault="00FB7BC7" w:rsidP="00FB7BC7">
      <w:pPr>
        <w:rPr>
          <w:sz w:val="24"/>
        </w:rPr>
      </w:pPr>
    </w:p>
    <w:p w:rsidR="00FB7BC7" w:rsidRDefault="00FB7BC7" w:rsidP="00FB7BC7">
      <w:pPr>
        <w:rPr>
          <w:b/>
          <w:i/>
          <w:color w:val="000080"/>
          <w:sz w:val="28"/>
        </w:rPr>
      </w:pPr>
      <w:r>
        <w:rPr>
          <w:b/>
          <w:i/>
          <w:color w:val="000080"/>
          <w:sz w:val="28"/>
        </w:rPr>
        <w:t>3 - CAS PARTICULIERS</w:t>
      </w:r>
    </w:p>
    <w:p w:rsidR="00FB7BC7" w:rsidRDefault="00FB7BC7" w:rsidP="00FB7BC7">
      <w:pPr>
        <w:rPr>
          <w:sz w:val="24"/>
        </w:rPr>
      </w:pPr>
    </w:p>
    <w:p w:rsidR="00FB7BC7" w:rsidRDefault="00FB7BC7" w:rsidP="00FB7BC7">
      <w:pPr>
        <w:ind w:left="709"/>
        <w:jc w:val="both"/>
        <w:rPr>
          <w:sz w:val="24"/>
        </w:rPr>
      </w:pPr>
      <w:r>
        <w:rPr>
          <w:sz w:val="24"/>
        </w:rPr>
        <w:t>Les lignes mixtes MT/BT, la transformation des lignes existantes en lignes MT ainsi que tous travaux de dépose seront facturés à l'unité. Pour les lignes MT/BT, les tronçons BT sont facturés p</w:t>
      </w:r>
      <w:r w:rsidR="00ED7EA1">
        <w:rPr>
          <w:sz w:val="24"/>
        </w:rPr>
        <w:t>ar application de l'article G-43</w:t>
      </w:r>
    </w:p>
    <w:p w:rsidR="00FB7BC7" w:rsidRDefault="00FB7BC7" w:rsidP="00FB7BC7">
      <w:pPr>
        <w:ind w:left="709"/>
        <w:jc w:val="both"/>
        <w:rPr>
          <w:sz w:val="24"/>
        </w:rPr>
      </w:pPr>
    </w:p>
    <w:p w:rsidR="00FB7BC7" w:rsidRDefault="00FB7BC7" w:rsidP="00FB7BC7">
      <w:pPr>
        <w:ind w:left="709"/>
        <w:jc w:val="both"/>
        <w:rPr>
          <w:sz w:val="24"/>
        </w:rPr>
      </w:pPr>
      <w:r>
        <w:rPr>
          <w:sz w:val="24"/>
        </w:rPr>
        <w:t xml:space="preserve">Les déposes et reposes éventuelles des </w:t>
      </w:r>
      <w:proofErr w:type="gramStart"/>
      <w:r>
        <w:rPr>
          <w:sz w:val="24"/>
        </w:rPr>
        <w:t>conducteurs basse tension</w:t>
      </w:r>
      <w:proofErr w:type="gramEnd"/>
      <w:r>
        <w:rPr>
          <w:sz w:val="24"/>
        </w:rPr>
        <w:t xml:space="preserve"> en vue de maintenir l'alimentation des abonnés dans le cas de transformation d'une ligne BT en ligne MT ne donneront pas lieu à plus value.</w:t>
      </w:r>
    </w:p>
    <w:p w:rsidR="00FB7BC7" w:rsidRDefault="00FB7BC7" w:rsidP="00FB7BC7">
      <w:pPr>
        <w:ind w:left="709"/>
        <w:jc w:val="both"/>
        <w:rPr>
          <w:sz w:val="24"/>
        </w:rPr>
      </w:pPr>
    </w:p>
    <w:p w:rsidR="00FB7BC7" w:rsidRDefault="00FB7BC7" w:rsidP="00FB7BC7">
      <w:pPr>
        <w:ind w:left="709"/>
        <w:jc w:val="both"/>
        <w:rPr>
          <w:sz w:val="24"/>
        </w:rPr>
      </w:pPr>
      <w:r>
        <w:rPr>
          <w:sz w:val="24"/>
        </w:rPr>
        <w:t>Lorsque des lignes mixtes MT/BT ou des lignes existantes transformées en ligne MT se prolongent après un tronçon facturé au prix kilométrique, le support intermédiaire entre les deux types de tronçon est facturé à l'unité par contre les armements et ancrages, ponts, dispositif de connexion de ce support sont facturés pour moitié à l'unité.</w:t>
      </w:r>
    </w:p>
    <w:p w:rsidR="00FB7BC7" w:rsidRDefault="00FB7BC7" w:rsidP="00FB7BC7">
      <w:pPr>
        <w:ind w:left="709"/>
        <w:jc w:val="both"/>
        <w:rPr>
          <w:sz w:val="24"/>
        </w:rPr>
      </w:pPr>
    </w:p>
    <w:p w:rsidR="00FB7BC7" w:rsidRDefault="00FB7BC7" w:rsidP="00FB7BC7">
      <w:pPr>
        <w:rPr>
          <w:sz w:val="24"/>
        </w:rPr>
      </w:pPr>
    </w:p>
    <w:p w:rsidR="00FB7BC7" w:rsidRDefault="00FB7BC7" w:rsidP="00FB7BC7">
      <w:pPr>
        <w:rPr>
          <w:b/>
          <w:i/>
          <w:color w:val="000080"/>
          <w:sz w:val="28"/>
        </w:rPr>
      </w:pPr>
      <w:r>
        <w:rPr>
          <w:b/>
          <w:i/>
          <w:color w:val="000080"/>
          <w:sz w:val="28"/>
        </w:rPr>
        <w:t>4 - ABATTAGES EXCEPTIONNELS, FOUILLES EN ROCHER, TERRASSEMENTS EXCEPTIONNELS</w:t>
      </w:r>
    </w:p>
    <w:p w:rsidR="00FB7BC7" w:rsidRDefault="00FB7BC7" w:rsidP="00FB7BC7">
      <w:pPr>
        <w:jc w:val="both"/>
        <w:rPr>
          <w:sz w:val="24"/>
        </w:rPr>
      </w:pPr>
    </w:p>
    <w:p w:rsidR="00FB7BC7" w:rsidRDefault="00FB7BC7" w:rsidP="00FB7BC7">
      <w:pPr>
        <w:jc w:val="both"/>
        <w:rPr>
          <w:sz w:val="24"/>
        </w:rPr>
      </w:pPr>
    </w:p>
    <w:p w:rsidR="00FB7BC7" w:rsidRDefault="00FB7BC7" w:rsidP="00FB7BC7">
      <w:pPr>
        <w:jc w:val="both"/>
        <w:rPr>
          <w:sz w:val="24"/>
        </w:rPr>
      </w:pPr>
      <w:r>
        <w:rPr>
          <w:sz w:val="24"/>
        </w:rPr>
        <w:tab/>
        <w:t>Attention nous attirons l’attention de l’entreprise sur le caractère « exceptionnel ».</w:t>
      </w:r>
    </w:p>
    <w:p w:rsidR="00FB7BC7" w:rsidRDefault="00FB7BC7" w:rsidP="00FB7BC7">
      <w:pPr>
        <w:jc w:val="both"/>
        <w:rPr>
          <w:sz w:val="24"/>
        </w:rPr>
      </w:pPr>
    </w:p>
    <w:p w:rsidR="00FB7BC7" w:rsidRDefault="00FB7BC7" w:rsidP="00FB7BC7">
      <w:pPr>
        <w:ind w:left="709"/>
        <w:jc w:val="both"/>
        <w:rPr>
          <w:sz w:val="24"/>
        </w:rPr>
      </w:pPr>
      <w:r>
        <w:rPr>
          <w:sz w:val="24"/>
        </w:rPr>
        <w:t xml:space="preserve">Les plus values prévues au bordereau ne seront payées qu'après vérification par le surveillant de travaux. Les travaux seront retenus au vue d'un </w:t>
      </w:r>
      <w:r>
        <w:rPr>
          <w:b/>
          <w:i/>
          <w:sz w:val="24"/>
          <w:u w:val="single"/>
        </w:rPr>
        <w:t>attachement nécessairement contradictoire</w:t>
      </w:r>
      <w:r>
        <w:rPr>
          <w:sz w:val="24"/>
        </w:rPr>
        <w:t xml:space="preserve"> (surveillant, chef de chantier).</w:t>
      </w:r>
    </w:p>
    <w:p w:rsidR="00FB7BC7" w:rsidRDefault="00FB7BC7" w:rsidP="00FB7BC7">
      <w:pPr>
        <w:jc w:val="both"/>
        <w:rPr>
          <w:sz w:val="24"/>
        </w:rPr>
      </w:pPr>
    </w:p>
    <w:p w:rsidR="00FB7BC7" w:rsidRDefault="00FB7BC7" w:rsidP="00FB7BC7">
      <w:pPr>
        <w:jc w:val="both"/>
        <w:rPr>
          <w:sz w:val="24"/>
        </w:rPr>
      </w:pPr>
    </w:p>
    <w:p w:rsidR="00883346" w:rsidRDefault="00883346" w:rsidP="00FB7BC7">
      <w:pPr>
        <w:jc w:val="both"/>
        <w:rPr>
          <w:sz w:val="24"/>
        </w:rPr>
      </w:pPr>
    </w:p>
    <w:p w:rsidR="00883346" w:rsidRDefault="00883346" w:rsidP="00FB7BC7">
      <w:pPr>
        <w:jc w:val="both"/>
        <w:rPr>
          <w:sz w:val="24"/>
        </w:rPr>
      </w:pPr>
    </w:p>
    <w:p w:rsidR="00883346" w:rsidRDefault="00883346" w:rsidP="00FB7BC7">
      <w:pPr>
        <w:jc w:val="both"/>
        <w:rPr>
          <w:sz w:val="24"/>
        </w:rPr>
      </w:pPr>
    </w:p>
    <w:p w:rsidR="00FB7BC7" w:rsidRDefault="00FB7BC7" w:rsidP="00FB7BC7">
      <w:pPr>
        <w:jc w:val="both"/>
        <w:rPr>
          <w:sz w:val="24"/>
        </w:rPr>
      </w:pPr>
    </w:p>
    <w:p w:rsidR="00FB7BC7" w:rsidRDefault="00FB7BC7" w:rsidP="00FB7BC7">
      <w:pPr>
        <w:rPr>
          <w:b/>
          <w:i/>
          <w:color w:val="000080"/>
          <w:sz w:val="28"/>
        </w:rPr>
      </w:pPr>
      <w:r>
        <w:rPr>
          <w:b/>
          <w:i/>
          <w:color w:val="000080"/>
          <w:sz w:val="28"/>
        </w:rPr>
        <w:lastRenderedPageBreak/>
        <w:t>5 - BRANCHEMENTS</w:t>
      </w:r>
    </w:p>
    <w:p w:rsidR="00FB7BC7" w:rsidRDefault="00FB7BC7" w:rsidP="00FB7BC7">
      <w:pPr>
        <w:jc w:val="both"/>
        <w:rPr>
          <w:sz w:val="24"/>
        </w:rPr>
      </w:pPr>
    </w:p>
    <w:p w:rsidR="00883346" w:rsidRDefault="00883346" w:rsidP="00FB7BC7">
      <w:pPr>
        <w:jc w:val="both"/>
        <w:rPr>
          <w:sz w:val="24"/>
        </w:rPr>
      </w:pPr>
    </w:p>
    <w:p w:rsidR="00FB7BC7" w:rsidRDefault="00FB7BC7" w:rsidP="00FB7BC7">
      <w:pPr>
        <w:ind w:firstLine="708"/>
        <w:rPr>
          <w:b/>
          <w:i/>
          <w:iCs/>
          <w:color w:val="008000"/>
          <w:sz w:val="28"/>
        </w:rPr>
      </w:pPr>
      <w:r>
        <w:rPr>
          <w:b/>
          <w:i/>
          <w:iCs/>
          <w:color w:val="008000"/>
          <w:sz w:val="28"/>
        </w:rPr>
        <w:t>Cas de la reprise et du rallongement d'un branchement :</w:t>
      </w:r>
    </w:p>
    <w:p w:rsidR="00FB7BC7" w:rsidRDefault="00FB7BC7" w:rsidP="00FB7BC7">
      <w:pPr>
        <w:ind w:left="709"/>
        <w:jc w:val="both"/>
        <w:rPr>
          <w:sz w:val="24"/>
        </w:rPr>
      </w:pPr>
    </w:p>
    <w:p w:rsidR="00FB7BC7" w:rsidRDefault="00FB7BC7" w:rsidP="00FB7BC7">
      <w:pPr>
        <w:ind w:left="1418"/>
        <w:jc w:val="both"/>
        <w:rPr>
          <w:sz w:val="24"/>
        </w:rPr>
      </w:pPr>
      <w:r>
        <w:rPr>
          <w:sz w:val="24"/>
        </w:rPr>
        <w:t>La facturation de la prestation s'établit comme suit : articles G-</w:t>
      </w:r>
      <w:r w:rsidR="00316BF9">
        <w:rPr>
          <w:sz w:val="24"/>
        </w:rPr>
        <w:t>156 ou G157</w:t>
      </w:r>
      <w:r>
        <w:rPr>
          <w:sz w:val="24"/>
        </w:rPr>
        <w:t xml:space="preserve"> selon le type de branchement et la nature du réseau.</w:t>
      </w:r>
    </w:p>
    <w:p w:rsidR="00FB7BC7" w:rsidRDefault="00FB7BC7" w:rsidP="00FB7BC7">
      <w:pPr>
        <w:ind w:left="709"/>
        <w:jc w:val="both"/>
        <w:rPr>
          <w:sz w:val="24"/>
        </w:rPr>
      </w:pPr>
    </w:p>
    <w:p w:rsidR="00FB7BC7" w:rsidRDefault="00FB7BC7" w:rsidP="00FB7BC7">
      <w:pPr>
        <w:ind w:left="709"/>
        <w:jc w:val="both"/>
        <w:rPr>
          <w:sz w:val="24"/>
        </w:rPr>
      </w:pPr>
    </w:p>
    <w:p w:rsidR="00FB7BC7" w:rsidRDefault="00FB7BC7" w:rsidP="00FB7BC7">
      <w:pPr>
        <w:ind w:left="709"/>
        <w:jc w:val="both"/>
        <w:rPr>
          <w:b/>
          <w:i/>
          <w:iCs/>
          <w:color w:val="008000"/>
          <w:sz w:val="28"/>
        </w:rPr>
      </w:pPr>
      <w:r>
        <w:rPr>
          <w:b/>
          <w:i/>
          <w:iCs/>
          <w:color w:val="008000"/>
          <w:sz w:val="28"/>
        </w:rPr>
        <w:t>Cas de la réfection d'une partie aérienne de branchement :</w:t>
      </w:r>
    </w:p>
    <w:p w:rsidR="00FB7BC7" w:rsidRDefault="00FB7BC7" w:rsidP="00FB7BC7">
      <w:pPr>
        <w:ind w:left="709"/>
        <w:jc w:val="both"/>
        <w:rPr>
          <w:sz w:val="24"/>
        </w:rPr>
      </w:pPr>
    </w:p>
    <w:p w:rsidR="00FB7BC7" w:rsidRDefault="00FB7BC7" w:rsidP="00FB7BC7">
      <w:pPr>
        <w:ind w:left="1418"/>
        <w:jc w:val="both"/>
        <w:rPr>
          <w:sz w:val="24"/>
        </w:rPr>
      </w:pPr>
      <w:r>
        <w:rPr>
          <w:sz w:val="24"/>
        </w:rPr>
        <w:t>Articles du bordereau à utiliser :</w:t>
      </w:r>
    </w:p>
    <w:p w:rsidR="00FB7BC7" w:rsidRDefault="00FB7BC7" w:rsidP="00FB7BC7">
      <w:pPr>
        <w:ind w:left="1418"/>
        <w:jc w:val="both"/>
        <w:rPr>
          <w:sz w:val="24"/>
        </w:rPr>
      </w:pPr>
    </w:p>
    <w:p w:rsidR="00FB7BC7" w:rsidRDefault="0045535C" w:rsidP="00FB7BC7">
      <w:pPr>
        <w:ind w:left="1701"/>
        <w:jc w:val="both"/>
        <w:rPr>
          <w:sz w:val="24"/>
        </w:rPr>
      </w:pPr>
      <w:r w:rsidRPr="0045535C">
        <w:rPr>
          <w:noProof/>
        </w:rPr>
        <w:pict>
          <v:shape id="_x0000_s1028" type="#_x0000_t202" style="position:absolute;left:0;text-align:left;margin-left:68.45pt;margin-top:6.45pt;width:18pt;height:18pt;z-index:251662336" filled="f" stroked="f">
            <v:textbox inset="0,0,0,0">
              <w:txbxContent>
                <w:p w:rsidR="00F46ACF" w:rsidRDefault="00F46ACF" w:rsidP="00FB7BC7">
                  <w:pPr>
                    <w:rPr>
                      <w:b/>
                      <w:bCs/>
                    </w:rPr>
                  </w:pPr>
                  <w:proofErr w:type="gramStart"/>
                  <w:r>
                    <w:rPr>
                      <w:b/>
                      <w:bCs/>
                    </w:rPr>
                    <w:t>ou</w:t>
                  </w:r>
                  <w:proofErr w:type="gramEnd"/>
                </w:p>
              </w:txbxContent>
            </v:textbox>
          </v:shape>
        </w:pict>
      </w:r>
      <w:r w:rsidR="00945D7C">
        <w:rPr>
          <w:sz w:val="24"/>
        </w:rPr>
        <w:sym w:font="Wingdings" w:char="F0F0"/>
      </w:r>
      <w:r w:rsidR="00ED7EA1">
        <w:rPr>
          <w:sz w:val="24"/>
        </w:rPr>
        <w:t xml:space="preserve"> </w:t>
      </w:r>
      <w:proofErr w:type="gramStart"/>
      <w:r w:rsidR="00ED7EA1">
        <w:rPr>
          <w:sz w:val="24"/>
        </w:rPr>
        <w:t>articles</w:t>
      </w:r>
      <w:proofErr w:type="gramEnd"/>
      <w:r w:rsidR="00ED7EA1">
        <w:rPr>
          <w:sz w:val="24"/>
        </w:rPr>
        <w:t xml:space="preserve"> G-156 ou G-157</w:t>
      </w:r>
      <w:r w:rsidR="00FB7BC7">
        <w:rPr>
          <w:sz w:val="24"/>
        </w:rPr>
        <w:t>.</w:t>
      </w:r>
    </w:p>
    <w:p w:rsidR="00FB7BC7" w:rsidRDefault="00945D7C" w:rsidP="00FB7BC7">
      <w:pPr>
        <w:ind w:left="1701"/>
        <w:jc w:val="both"/>
        <w:rPr>
          <w:sz w:val="24"/>
        </w:rPr>
      </w:pPr>
      <w:r>
        <w:rPr>
          <w:sz w:val="24"/>
        </w:rPr>
        <w:sym w:font="Wingdings" w:char="F0F0"/>
      </w:r>
      <w:r w:rsidR="00ED7EA1">
        <w:rPr>
          <w:sz w:val="24"/>
        </w:rPr>
        <w:t xml:space="preserve"> </w:t>
      </w:r>
      <w:proofErr w:type="gramStart"/>
      <w:r w:rsidR="00ED7EA1">
        <w:rPr>
          <w:sz w:val="24"/>
        </w:rPr>
        <w:t>article</w:t>
      </w:r>
      <w:proofErr w:type="gramEnd"/>
      <w:r w:rsidR="00ED7EA1">
        <w:rPr>
          <w:sz w:val="24"/>
        </w:rPr>
        <w:t xml:space="preserve"> G-161</w:t>
      </w:r>
      <w:r w:rsidR="00FB7BC7">
        <w:rPr>
          <w:sz w:val="24"/>
        </w:rPr>
        <w:t xml:space="preserve"> selon le type de branchement et la nature du réseau.</w:t>
      </w:r>
    </w:p>
    <w:p w:rsidR="00FB7BC7" w:rsidRDefault="00FB7BC7" w:rsidP="00FB7BC7">
      <w:pPr>
        <w:ind w:left="709"/>
        <w:jc w:val="both"/>
        <w:rPr>
          <w:sz w:val="24"/>
        </w:rPr>
      </w:pPr>
    </w:p>
    <w:p w:rsidR="00FB7BC7" w:rsidRDefault="00FB7BC7" w:rsidP="00FB7BC7">
      <w:pPr>
        <w:ind w:left="709"/>
        <w:jc w:val="both"/>
        <w:rPr>
          <w:sz w:val="24"/>
        </w:rPr>
      </w:pPr>
    </w:p>
    <w:p w:rsidR="00FB7BC7" w:rsidRDefault="00FB7BC7" w:rsidP="00FB7BC7">
      <w:pPr>
        <w:ind w:left="709"/>
        <w:jc w:val="both"/>
        <w:rPr>
          <w:sz w:val="24"/>
        </w:rPr>
      </w:pPr>
      <w:r>
        <w:rPr>
          <w:sz w:val="24"/>
        </w:rPr>
        <w:t>Ces articles s'entendent  sans fourniture du conducteur de branchement.</w:t>
      </w:r>
    </w:p>
    <w:p w:rsidR="00FB7BC7" w:rsidRDefault="00FB7BC7" w:rsidP="00FB7BC7">
      <w:pPr>
        <w:jc w:val="both"/>
        <w:rPr>
          <w:sz w:val="24"/>
        </w:rPr>
      </w:pPr>
    </w:p>
    <w:p w:rsidR="00FB7BC7" w:rsidRDefault="00FB7BC7" w:rsidP="00FB7BC7">
      <w:pPr>
        <w:jc w:val="both"/>
        <w:rPr>
          <w:sz w:val="24"/>
        </w:rPr>
      </w:pPr>
    </w:p>
    <w:p w:rsidR="00FB7BC7" w:rsidRDefault="00FB7BC7" w:rsidP="00FB7BC7">
      <w:pPr>
        <w:rPr>
          <w:b/>
          <w:i/>
          <w:color w:val="000080"/>
          <w:sz w:val="28"/>
        </w:rPr>
      </w:pPr>
      <w:r>
        <w:rPr>
          <w:b/>
          <w:i/>
          <w:color w:val="000080"/>
          <w:sz w:val="28"/>
        </w:rPr>
        <w:t>6 - ECLAIRAGE PUBLIC - Travaux neufs.</w:t>
      </w:r>
    </w:p>
    <w:p w:rsidR="00FB7BC7" w:rsidRDefault="00FB7BC7" w:rsidP="00FB7BC7">
      <w:pPr>
        <w:jc w:val="both"/>
        <w:rPr>
          <w:sz w:val="24"/>
        </w:rPr>
      </w:pPr>
    </w:p>
    <w:p w:rsidR="00FB7BC7" w:rsidRDefault="00FB7BC7" w:rsidP="00FB7BC7">
      <w:pPr>
        <w:ind w:left="709"/>
        <w:jc w:val="both"/>
        <w:rPr>
          <w:sz w:val="24"/>
        </w:rPr>
      </w:pPr>
      <w:r>
        <w:rPr>
          <w:sz w:val="24"/>
        </w:rPr>
        <w:t>Les réglages et essais sont inclus dans les prix du bordereau.</w:t>
      </w:r>
    </w:p>
    <w:p w:rsidR="00FB7BC7" w:rsidRDefault="00FB7BC7" w:rsidP="00ED7EA1">
      <w:pPr>
        <w:jc w:val="both"/>
        <w:rPr>
          <w:sz w:val="24"/>
        </w:rPr>
      </w:pPr>
    </w:p>
    <w:p w:rsidR="00FB7BC7" w:rsidRDefault="00FB7BC7" w:rsidP="00FB7BC7">
      <w:pPr>
        <w:ind w:left="709"/>
        <w:jc w:val="both"/>
        <w:rPr>
          <w:b/>
          <w:i/>
          <w:iCs/>
          <w:color w:val="008000"/>
          <w:sz w:val="28"/>
        </w:rPr>
      </w:pPr>
      <w:r>
        <w:rPr>
          <w:b/>
          <w:i/>
          <w:iCs/>
          <w:color w:val="008000"/>
          <w:sz w:val="28"/>
        </w:rPr>
        <w:t>Luminaires fonctionnels :</w:t>
      </w:r>
    </w:p>
    <w:p w:rsidR="00FB7BC7" w:rsidRDefault="00FB7BC7" w:rsidP="00FB7BC7">
      <w:pPr>
        <w:ind w:left="709"/>
        <w:jc w:val="both"/>
        <w:rPr>
          <w:sz w:val="24"/>
        </w:rPr>
      </w:pPr>
    </w:p>
    <w:p w:rsidR="00FB7BC7" w:rsidRDefault="00945D7C" w:rsidP="00FB7BC7">
      <w:pPr>
        <w:ind w:left="1418"/>
        <w:jc w:val="both"/>
        <w:rPr>
          <w:sz w:val="24"/>
        </w:rPr>
      </w:pPr>
      <w:r>
        <w:rPr>
          <w:sz w:val="24"/>
        </w:rPr>
        <w:sym w:font="Wingdings" w:char="F0F0"/>
      </w:r>
      <w:r w:rsidR="00FB7BC7">
        <w:rPr>
          <w:sz w:val="24"/>
        </w:rPr>
        <w:t xml:space="preserve"> </w:t>
      </w:r>
      <w:proofErr w:type="gramStart"/>
      <w:r w:rsidR="00FB7BC7">
        <w:rPr>
          <w:sz w:val="24"/>
        </w:rPr>
        <w:t>chacun</w:t>
      </w:r>
      <w:proofErr w:type="gramEnd"/>
      <w:r w:rsidR="00FB7BC7">
        <w:rPr>
          <w:sz w:val="24"/>
        </w:rPr>
        <w:t xml:space="preserve"> des artic</w:t>
      </w:r>
      <w:r w:rsidR="00ED7EA1">
        <w:rPr>
          <w:sz w:val="24"/>
        </w:rPr>
        <w:t>les G-234, G-235, G-236, G-251 et G-252</w:t>
      </w:r>
      <w:r w:rsidR="00FB7BC7">
        <w:rPr>
          <w:sz w:val="24"/>
        </w:rPr>
        <w:t xml:space="preserve"> du bordereau comprend la fourniture et pose :</w:t>
      </w:r>
    </w:p>
    <w:p w:rsidR="00FB7BC7" w:rsidRPr="0031393C" w:rsidRDefault="00FB7BC7" w:rsidP="00FB7BC7">
      <w:pPr>
        <w:ind w:left="1418"/>
        <w:jc w:val="both"/>
        <w:rPr>
          <w:sz w:val="24"/>
          <w:u w:val="single"/>
        </w:rPr>
      </w:pPr>
      <w:r>
        <w:rPr>
          <w:sz w:val="24"/>
          <w:u w:val="single"/>
        </w:rPr>
        <w:t>1 – Cas du sodium SHP</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w:t>
      </w:r>
      <w:proofErr w:type="gramEnd"/>
      <w:r w:rsidR="00FB7BC7">
        <w:rPr>
          <w:sz w:val="24"/>
        </w:rPr>
        <w:t xml:space="preserve"> luminaire du type raquette de classe électrique II, fermé, à réflecteur séparé, coque non auto-réfléchissante, à appareillage incorporé, tension de service adaptée à celle du réseau, lampe à vapeur de sodium haute pression ovoïde, tubulaire claire pour la puissan</w:t>
      </w:r>
      <w:r w:rsidR="00ED7EA1">
        <w:rPr>
          <w:sz w:val="24"/>
        </w:rPr>
        <w:t>ce de 100 W, 150 W et 700</w:t>
      </w:r>
      <w:r w:rsidR="00FB7BC7">
        <w:rPr>
          <w:sz w:val="24"/>
        </w:rPr>
        <w:t xml:space="preserve"> W, dans le cas, les optiques des appareils devront être adaptées à la source.</w:t>
      </w:r>
    </w:p>
    <w:p w:rsidR="00FB7BC7" w:rsidRDefault="00FB7BC7" w:rsidP="00FB7BC7">
      <w:pPr>
        <w:ind w:left="1985" w:hanging="284"/>
        <w:jc w:val="both"/>
        <w:rPr>
          <w:sz w:val="24"/>
        </w:rPr>
      </w:pPr>
    </w:p>
    <w:p w:rsidR="00FB7BC7" w:rsidRPr="0031393C" w:rsidRDefault="00FB7BC7" w:rsidP="00FB7BC7">
      <w:pPr>
        <w:ind w:left="1985" w:hanging="567"/>
        <w:jc w:val="both"/>
        <w:rPr>
          <w:sz w:val="24"/>
          <w:u w:val="single"/>
        </w:rPr>
      </w:pPr>
      <w:r>
        <w:rPr>
          <w:sz w:val="24"/>
          <w:u w:val="single"/>
        </w:rPr>
        <w:t>2 – Autres cas pour la source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dans</w:t>
      </w:r>
      <w:proofErr w:type="gramEnd"/>
      <w:r w:rsidR="00FB7BC7">
        <w:rPr>
          <w:sz w:val="24"/>
        </w:rPr>
        <w:t xml:space="preserve"> le cas d'une source CDMT, une plus value est à débattre avec le Maître d'œuvre.</w:t>
      </w:r>
    </w:p>
    <w:p w:rsidR="00FB7BC7" w:rsidRDefault="00FB7BC7" w:rsidP="00FB7BC7">
      <w:pPr>
        <w:tabs>
          <w:tab w:val="left" w:pos="1701"/>
        </w:tabs>
        <w:ind w:left="709"/>
        <w:jc w:val="both"/>
        <w:rPr>
          <w:sz w:val="24"/>
        </w:rPr>
      </w:pPr>
      <w:r>
        <w:rPr>
          <w:sz w:val="24"/>
        </w:rPr>
        <w:tab/>
      </w:r>
      <w:r w:rsidR="00945D7C">
        <w:rPr>
          <w:sz w:val="24"/>
        </w:rPr>
        <w:sym w:font="Wingdings" w:char="F0F0"/>
      </w:r>
      <w:r w:rsidR="00ED7EA1">
        <w:rPr>
          <w:sz w:val="24"/>
        </w:rPr>
        <w:t xml:space="preserve"> </w:t>
      </w:r>
      <w:proofErr w:type="gramStart"/>
      <w:r w:rsidR="00ED7EA1">
        <w:rPr>
          <w:sz w:val="24"/>
        </w:rPr>
        <w:t>les</w:t>
      </w:r>
      <w:proofErr w:type="gramEnd"/>
      <w:r w:rsidR="00ED7EA1">
        <w:rPr>
          <w:sz w:val="24"/>
        </w:rPr>
        <w:t xml:space="preserve"> articles G</w:t>
      </w:r>
      <w:r w:rsidR="00DC4310">
        <w:rPr>
          <w:sz w:val="24"/>
        </w:rPr>
        <w:t>-</w:t>
      </w:r>
      <w:r w:rsidR="00ED7EA1">
        <w:rPr>
          <w:sz w:val="24"/>
        </w:rPr>
        <w:t>251 et G</w:t>
      </w:r>
      <w:r w:rsidR="00DC4310">
        <w:rPr>
          <w:sz w:val="24"/>
        </w:rPr>
        <w:t>-</w:t>
      </w:r>
      <w:r w:rsidR="00ED7EA1">
        <w:rPr>
          <w:sz w:val="24"/>
        </w:rPr>
        <w:t>252 traitent</w:t>
      </w:r>
      <w:r>
        <w:rPr>
          <w:sz w:val="24"/>
        </w:rPr>
        <w:t xml:space="preserve"> le cas des LED</w:t>
      </w:r>
    </w:p>
    <w:p w:rsidR="00FB7BC7" w:rsidRDefault="00FB7BC7" w:rsidP="00FB7BC7">
      <w:pPr>
        <w:ind w:left="708" w:firstLine="708"/>
        <w:jc w:val="both"/>
        <w:rPr>
          <w:sz w:val="24"/>
          <w:u w:val="single"/>
        </w:rPr>
      </w:pPr>
    </w:p>
    <w:p w:rsidR="00FB7BC7" w:rsidRPr="0031393C" w:rsidRDefault="00FB7BC7" w:rsidP="00FB7BC7">
      <w:pPr>
        <w:ind w:left="708" w:firstLine="708"/>
        <w:jc w:val="both"/>
        <w:rPr>
          <w:sz w:val="24"/>
          <w:u w:val="single"/>
        </w:rPr>
      </w:pPr>
      <w:r w:rsidRPr="0031393C">
        <w:rPr>
          <w:sz w:val="24"/>
          <w:u w:val="single"/>
        </w:rPr>
        <w:t>3 - Dans le cas d'un appareil placé sur support en béton ou en bois ou sur façade :</w:t>
      </w:r>
    </w:p>
    <w:p w:rsidR="00FB7BC7" w:rsidRDefault="00FB7BC7" w:rsidP="00FB7BC7">
      <w:pPr>
        <w:ind w:left="1985" w:hanging="284"/>
        <w:jc w:val="both"/>
        <w:rPr>
          <w:sz w:val="24"/>
        </w:rPr>
      </w:pPr>
    </w:p>
    <w:p w:rsidR="00FB7BC7" w:rsidRDefault="00FB7BC7" w:rsidP="00FB7BC7">
      <w:pPr>
        <w:ind w:left="2127" w:hanging="143"/>
        <w:jc w:val="both"/>
        <w:rPr>
          <w:sz w:val="24"/>
        </w:rPr>
      </w:pPr>
      <w:r>
        <w:rPr>
          <w:sz w:val="12"/>
        </w:rPr>
        <w:sym w:font="Monotype Sorts" w:char="F06C"/>
      </w:r>
      <w:r>
        <w:rPr>
          <w:sz w:val="24"/>
        </w:rPr>
        <w:t xml:space="preserve"> </w:t>
      </w:r>
      <w:proofErr w:type="gramStart"/>
      <w:r>
        <w:rPr>
          <w:sz w:val="24"/>
        </w:rPr>
        <w:t>la</w:t>
      </w:r>
      <w:proofErr w:type="gramEnd"/>
      <w:r>
        <w:rPr>
          <w:sz w:val="24"/>
        </w:rPr>
        <w:t xml:space="preserve"> console d'un diamètre approprié, à grand rayon de courbure, donnant un mètre d'avancée,</w:t>
      </w:r>
    </w:p>
    <w:p w:rsidR="00FB7BC7" w:rsidRDefault="00FB7BC7" w:rsidP="00FB7BC7">
      <w:pPr>
        <w:ind w:left="2127" w:hanging="142"/>
        <w:jc w:val="both"/>
        <w:rPr>
          <w:sz w:val="24"/>
        </w:rPr>
      </w:pPr>
      <w:r>
        <w:rPr>
          <w:sz w:val="12"/>
        </w:rPr>
        <w:sym w:font="Monotype Sorts" w:char="F06C"/>
      </w:r>
      <w:r>
        <w:rPr>
          <w:sz w:val="12"/>
        </w:rPr>
        <w:t xml:space="preserve"> </w:t>
      </w:r>
      <w:proofErr w:type="gramStart"/>
      <w:r>
        <w:rPr>
          <w:sz w:val="24"/>
        </w:rPr>
        <w:t>les</w:t>
      </w:r>
      <w:proofErr w:type="gramEnd"/>
      <w:r>
        <w:rPr>
          <w:sz w:val="24"/>
        </w:rPr>
        <w:t xml:space="preserve"> patins de ferrures de fixation de la console sur le poteau ou les scellements sur façades,</w:t>
      </w:r>
    </w:p>
    <w:p w:rsidR="00FB7BC7" w:rsidRDefault="00FB7BC7" w:rsidP="00FB7BC7">
      <w:pPr>
        <w:ind w:left="2127" w:hanging="142"/>
        <w:jc w:val="both"/>
        <w:rPr>
          <w:sz w:val="24"/>
        </w:rPr>
      </w:pPr>
      <w:r>
        <w:rPr>
          <w:sz w:val="12"/>
        </w:rPr>
        <w:lastRenderedPageBreak/>
        <w:sym w:font="Monotype Sorts" w:char="F06C"/>
      </w:r>
      <w:r>
        <w:rPr>
          <w:sz w:val="12"/>
        </w:rPr>
        <w:t xml:space="preserve"> </w:t>
      </w:r>
      <w:proofErr w:type="gramStart"/>
      <w:r>
        <w:rPr>
          <w:sz w:val="24"/>
        </w:rPr>
        <w:t>l'appareillage</w:t>
      </w:r>
      <w:proofErr w:type="gramEnd"/>
      <w:r>
        <w:rPr>
          <w:sz w:val="24"/>
        </w:rPr>
        <w:t xml:space="preserve"> de protection fixé à l'entrée basse de la console, les différents raccordements électriques, câbles compris,</w:t>
      </w:r>
    </w:p>
    <w:p w:rsidR="00FB7BC7" w:rsidRDefault="00FB7BC7" w:rsidP="00FB7BC7">
      <w:pPr>
        <w:ind w:left="2127" w:hanging="142"/>
        <w:jc w:val="both"/>
        <w:rPr>
          <w:sz w:val="24"/>
        </w:rPr>
      </w:pPr>
      <w:r>
        <w:rPr>
          <w:sz w:val="12"/>
        </w:rPr>
        <w:sym w:font="Monotype Sorts" w:char="F06C"/>
      </w:r>
      <w:r>
        <w:rPr>
          <w:sz w:val="12"/>
        </w:rPr>
        <w:t xml:space="preserve"> </w:t>
      </w:r>
      <w:proofErr w:type="gramStart"/>
      <w:r>
        <w:rPr>
          <w:sz w:val="24"/>
        </w:rPr>
        <w:t>le</w:t>
      </w:r>
      <w:proofErr w:type="gramEnd"/>
      <w:r>
        <w:rPr>
          <w:sz w:val="24"/>
        </w:rPr>
        <w:t xml:space="preserve"> coffret coupe circuit sera accessible et de classe II.</w:t>
      </w:r>
    </w:p>
    <w:p w:rsidR="00FB7BC7" w:rsidRDefault="00FB7BC7" w:rsidP="00ED7EA1">
      <w:pPr>
        <w:jc w:val="both"/>
        <w:rPr>
          <w:sz w:val="24"/>
        </w:rPr>
      </w:pPr>
    </w:p>
    <w:p w:rsidR="00FB7BC7" w:rsidRDefault="00FB7BC7" w:rsidP="00FB7BC7">
      <w:pPr>
        <w:ind w:left="1985" w:hanging="284"/>
        <w:jc w:val="both"/>
        <w:rPr>
          <w:sz w:val="24"/>
        </w:rPr>
      </w:pPr>
      <w:r>
        <w:rPr>
          <w:sz w:val="24"/>
          <w:u w:val="single"/>
        </w:rPr>
        <w:t>4 -</w:t>
      </w:r>
      <w:r w:rsidRPr="0031393C">
        <w:rPr>
          <w:sz w:val="24"/>
          <w:u w:val="single"/>
        </w:rPr>
        <w:t>Dans le cas d'un appareil sur candélabre :</w:t>
      </w:r>
    </w:p>
    <w:p w:rsidR="00FB7BC7" w:rsidRDefault="00FB7BC7" w:rsidP="00FB7BC7">
      <w:pPr>
        <w:ind w:left="2127" w:hanging="143"/>
        <w:jc w:val="both"/>
        <w:rPr>
          <w:sz w:val="24"/>
        </w:rPr>
      </w:pPr>
      <w:r>
        <w:rPr>
          <w:sz w:val="12"/>
        </w:rPr>
        <w:sym w:font="Monotype Sorts" w:char="F06C"/>
      </w:r>
      <w:r>
        <w:rPr>
          <w:sz w:val="24"/>
        </w:rPr>
        <w:t xml:space="preserve"> </w:t>
      </w:r>
      <w:proofErr w:type="gramStart"/>
      <w:r>
        <w:rPr>
          <w:sz w:val="24"/>
        </w:rPr>
        <w:t>les</w:t>
      </w:r>
      <w:proofErr w:type="gramEnd"/>
      <w:r>
        <w:rPr>
          <w:sz w:val="24"/>
        </w:rPr>
        <w:t xml:space="preserve"> raccordements et liaisons électriques, câbles compris, du </w:t>
      </w:r>
      <w:proofErr w:type="spellStart"/>
      <w:r>
        <w:rPr>
          <w:sz w:val="24"/>
        </w:rPr>
        <w:t>bornier</w:t>
      </w:r>
      <w:proofErr w:type="spellEnd"/>
      <w:r>
        <w:rPr>
          <w:sz w:val="24"/>
        </w:rPr>
        <w:t xml:space="preserve"> à la platine et de la platine au luminaire avec extrémités </w:t>
      </w:r>
      <w:proofErr w:type="spellStart"/>
      <w:r>
        <w:rPr>
          <w:sz w:val="24"/>
        </w:rPr>
        <w:t>thermorétractables</w:t>
      </w:r>
      <w:proofErr w:type="spellEnd"/>
      <w:r>
        <w:rPr>
          <w:sz w:val="24"/>
        </w:rPr>
        <w:t>,</w:t>
      </w:r>
    </w:p>
    <w:p w:rsidR="00FB7BC7" w:rsidRDefault="00FB7BC7" w:rsidP="00FB7BC7">
      <w:pPr>
        <w:ind w:left="2127" w:hanging="143"/>
        <w:jc w:val="both"/>
        <w:rPr>
          <w:sz w:val="24"/>
        </w:rPr>
      </w:pPr>
      <w:r>
        <w:rPr>
          <w:sz w:val="12"/>
        </w:rPr>
        <w:sym w:font="Monotype Sorts" w:char="F06C"/>
      </w:r>
      <w:r>
        <w:rPr>
          <w:sz w:val="24"/>
        </w:rPr>
        <w:t xml:space="preserve"> </w:t>
      </w:r>
      <w:proofErr w:type="gramStart"/>
      <w:r>
        <w:rPr>
          <w:sz w:val="24"/>
        </w:rPr>
        <w:t>la</w:t>
      </w:r>
      <w:proofErr w:type="gramEnd"/>
      <w:r>
        <w:rPr>
          <w:sz w:val="24"/>
        </w:rPr>
        <w:t xml:space="preserve"> platine de classe II avec appareillage de protection.</w:t>
      </w:r>
    </w:p>
    <w:p w:rsidR="00FB7BC7" w:rsidRDefault="00FB7BC7" w:rsidP="00FB7BC7">
      <w:pPr>
        <w:jc w:val="both"/>
        <w:rPr>
          <w:sz w:val="24"/>
        </w:rPr>
      </w:pPr>
    </w:p>
    <w:p w:rsidR="00FB7BC7" w:rsidRDefault="00FB7BC7" w:rsidP="00FB7BC7">
      <w:pPr>
        <w:ind w:left="709"/>
        <w:jc w:val="both"/>
        <w:rPr>
          <w:b/>
          <w:i/>
          <w:iCs/>
          <w:color w:val="008000"/>
          <w:sz w:val="28"/>
        </w:rPr>
      </w:pPr>
      <w:r>
        <w:rPr>
          <w:b/>
          <w:i/>
          <w:iCs/>
          <w:color w:val="008000"/>
          <w:sz w:val="28"/>
        </w:rPr>
        <w:t>Luminaires résidentiel</w:t>
      </w:r>
      <w:r w:rsidR="00090334">
        <w:rPr>
          <w:b/>
          <w:i/>
          <w:iCs/>
          <w:color w:val="008000"/>
          <w:sz w:val="28"/>
        </w:rPr>
        <w:t>s, décoratifs, lanternes</w:t>
      </w:r>
      <w:r>
        <w:rPr>
          <w:b/>
          <w:i/>
          <w:iCs/>
          <w:color w:val="008000"/>
          <w:sz w:val="28"/>
        </w:rPr>
        <w:t xml:space="preserve"> :</w:t>
      </w:r>
    </w:p>
    <w:p w:rsidR="00FB7BC7" w:rsidRDefault="00FB7BC7" w:rsidP="00FB7BC7">
      <w:pPr>
        <w:ind w:left="709"/>
        <w:jc w:val="both"/>
        <w:rPr>
          <w:b/>
          <w:sz w:val="24"/>
        </w:rPr>
      </w:pPr>
    </w:p>
    <w:p w:rsidR="00FB7BC7" w:rsidRDefault="00FB7BC7" w:rsidP="00FB7BC7">
      <w:pPr>
        <w:ind w:left="709"/>
        <w:jc w:val="both"/>
        <w:rPr>
          <w:b/>
          <w:sz w:val="24"/>
        </w:rPr>
      </w:pPr>
    </w:p>
    <w:p w:rsidR="00FB7BC7" w:rsidRDefault="00945D7C" w:rsidP="00FB7BC7">
      <w:pPr>
        <w:ind w:left="1418"/>
        <w:jc w:val="both"/>
        <w:rPr>
          <w:sz w:val="24"/>
        </w:rPr>
      </w:pPr>
      <w:r>
        <w:rPr>
          <w:sz w:val="24"/>
        </w:rPr>
        <w:sym w:font="Wingdings" w:char="F0F0"/>
      </w:r>
      <w:r w:rsidR="00ED7EA1">
        <w:rPr>
          <w:sz w:val="24"/>
        </w:rPr>
        <w:t xml:space="preserve"> chacun des articles G-238, G-239, G-240, G-241, G-242, G-243, G-244, G-245, G-246, G-247, G-248, G-249 et G-250</w:t>
      </w:r>
      <w:r w:rsidR="00FB7BC7">
        <w:rPr>
          <w:sz w:val="24"/>
        </w:rPr>
        <w:t xml:space="preserve"> comprend la fourniture et pose :</w:t>
      </w:r>
    </w:p>
    <w:p w:rsidR="00FB7BC7" w:rsidRDefault="00FB7BC7" w:rsidP="00FB7BC7">
      <w:pPr>
        <w:ind w:left="1418"/>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w:t>
      </w:r>
      <w:proofErr w:type="gramEnd"/>
      <w:r w:rsidR="00FB7BC7">
        <w:rPr>
          <w:sz w:val="24"/>
        </w:rPr>
        <w:t xml:space="preserve"> luminaire à appareillage incorporé ou séparé (lampe à vapeur de sodium haute pression ovoïde poudrée) de classe électrique II,</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de</w:t>
      </w:r>
      <w:proofErr w:type="gramEnd"/>
      <w:r w:rsidR="00FB7BC7">
        <w:rPr>
          <w:sz w:val="24"/>
        </w:rPr>
        <w:t xml:space="preserve"> la platine de classe II et de l'appareillage de protection,</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les</w:t>
      </w:r>
      <w:proofErr w:type="gramEnd"/>
      <w:r w:rsidR="00FB7BC7">
        <w:rPr>
          <w:sz w:val="24"/>
        </w:rPr>
        <w:t xml:space="preserve"> différents raccordements et liaisons électriques (câbles compris) du luminaire et de la platine, avec extrémités </w:t>
      </w:r>
      <w:proofErr w:type="spellStart"/>
      <w:r w:rsidR="00FB7BC7">
        <w:rPr>
          <w:sz w:val="24"/>
        </w:rPr>
        <w:t>thermorétractables</w:t>
      </w:r>
      <w:proofErr w:type="spellEnd"/>
      <w:r w:rsidR="00FB7BC7">
        <w:rPr>
          <w:sz w:val="24"/>
        </w:rPr>
        <w:t>,</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une</w:t>
      </w:r>
      <w:proofErr w:type="gramEnd"/>
      <w:r w:rsidR="00FB7BC7">
        <w:rPr>
          <w:sz w:val="24"/>
        </w:rPr>
        <w:t xml:space="preserve"> plus value est à débattre avec le Maître d'œuvre dans le cas d'une source CDMT.</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les</w:t>
      </w:r>
      <w:proofErr w:type="gramEnd"/>
      <w:r w:rsidR="00FB7BC7">
        <w:rPr>
          <w:sz w:val="24"/>
        </w:rPr>
        <w:t xml:space="preserve"> luminaires bulles sont interdits de pose.</w:t>
      </w:r>
    </w:p>
    <w:p w:rsidR="00ED7EA1" w:rsidRDefault="00945D7C" w:rsidP="00FB7BC7">
      <w:pPr>
        <w:ind w:left="1985" w:hanging="284"/>
        <w:jc w:val="both"/>
        <w:rPr>
          <w:sz w:val="24"/>
        </w:rPr>
      </w:pPr>
      <w:r>
        <w:rPr>
          <w:sz w:val="24"/>
        </w:rPr>
        <w:sym w:font="Wingdings" w:char="F0F0"/>
      </w:r>
      <w:r w:rsidR="00ED7EA1">
        <w:rPr>
          <w:sz w:val="24"/>
        </w:rPr>
        <w:t xml:space="preserve"> </w:t>
      </w:r>
      <w:proofErr w:type="gramStart"/>
      <w:r w:rsidR="00ED7EA1">
        <w:rPr>
          <w:sz w:val="24"/>
        </w:rPr>
        <w:t>les</w:t>
      </w:r>
      <w:proofErr w:type="gramEnd"/>
      <w:r w:rsidR="00ED7EA1">
        <w:rPr>
          <w:sz w:val="24"/>
        </w:rPr>
        <w:t xml:space="preserve"> </w:t>
      </w:r>
      <w:proofErr w:type="spellStart"/>
      <w:r w:rsidR="00ED7EA1">
        <w:rPr>
          <w:sz w:val="24"/>
        </w:rPr>
        <w:t>Leds</w:t>
      </w:r>
      <w:proofErr w:type="spellEnd"/>
      <w:r w:rsidR="00ED7EA1">
        <w:rPr>
          <w:sz w:val="24"/>
        </w:rPr>
        <w:t xml:space="preserve"> sont traités par les art</w:t>
      </w:r>
      <w:r w:rsidR="00462207">
        <w:rPr>
          <w:sz w:val="24"/>
        </w:rPr>
        <w:t xml:space="preserve">icles G-241, G-242, G-243, G-246, G-247, </w:t>
      </w:r>
      <w:r w:rsidR="00ED7EA1">
        <w:rPr>
          <w:sz w:val="24"/>
        </w:rPr>
        <w:t>G-248, G-249 et G-250.</w:t>
      </w:r>
    </w:p>
    <w:p w:rsidR="00FB7BC7" w:rsidRDefault="00FB7BC7" w:rsidP="00FB7BC7">
      <w:pPr>
        <w:ind w:left="1985" w:hanging="284"/>
        <w:jc w:val="both"/>
        <w:rPr>
          <w:sz w:val="24"/>
        </w:rPr>
      </w:pPr>
    </w:p>
    <w:p w:rsidR="00FB7BC7" w:rsidRDefault="00945A8F" w:rsidP="00945A8F">
      <w:pPr>
        <w:jc w:val="both"/>
        <w:rPr>
          <w:sz w:val="24"/>
        </w:rPr>
      </w:pPr>
      <w:r>
        <w:rPr>
          <w:sz w:val="24"/>
        </w:rPr>
        <w:t>Pour tous les luminaires LED :</w:t>
      </w:r>
    </w:p>
    <w:p w:rsidR="00945A8F" w:rsidRDefault="00945A8F" w:rsidP="00945A8F">
      <w:pPr>
        <w:jc w:val="both"/>
        <w:rPr>
          <w:sz w:val="24"/>
        </w:rPr>
      </w:pPr>
    </w:p>
    <w:p w:rsidR="00945A8F" w:rsidRDefault="00F46ACF" w:rsidP="00945A8F">
      <w:pPr>
        <w:jc w:val="both"/>
        <w:rPr>
          <w:sz w:val="24"/>
        </w:rPr>
      </w:pPr>
      <w:r>
        <w:rPr>
          <w:sz w:val="24"/>
        </w:rPr>
        <w:t>Ils</w:t>
      </w:r>
      <w:r w:rsidR="00945A8F">
        <w:rPr>
          <w:sz w:val="24"/>
        </w:rPr>
        <w:t xml:space="preserve"> devront répondre aux exigences et aux normes nommées ci-dessous :</w:t>
      </w:r>
    </w:p>
    <w:p w:rsidR="00945A8F" w:rsidRDefault="00945A8F" w:rsidP="00945A8F">
      <w:pPr>
        <w:jc w:val="both"/>
        <w:rPr>
          <w:sz w:val="24"/>
        </w:rPr>
      </w:pPr>
    </w:p>
    <w:p w:rsidR="00945A8F" w:rsidRDefault="00945A8F" w:rsidP="00945A8F">
      <w:pPr>
        <w:jc w:val="both"/>
        <w:rPr>
          <w:sz w:val="24"/>
          <w:u w:val="single"/>
        </w:rPr>
      </w:pPr>
      <w:r>
        <w:rPr>
          <w:sz w:val="24"/>
          <w:u w:val="single"/>
        </w:rPr>
        <w:t>Catégorie médiane :</w:t>
      </w:r>
    </w:p>
    <w:p w:rsidR="00945A8F" w:rsidRDefault="00945A8F" w:rsidP="00945A8F">
      <w:pPr>
        <w:jc w:val="both"/>
        <w:rPr>
          <w:sz w:val="24"/>
          <w:u w:val="single"/>
        </w:rPr>
      </w:pPr>
    </w:p>
    <w:p w:rsidR="00945A8F" w:rsidRDefault="00945A8F" w:rsidP="00945A8F">
      <w:pPr>
        <w:pStyle w:val="Paragraphedeliste"/>
        <w:numPr>
          <w:ilvl w:val="0"/>
          <w:numId w:val="1"/>
        </w:numPr>
        <w:jc w:val="both"/>
        <w:rPr>
          <w:sz w:val="24"/>
        </w:rPr>
      </w:pPr>
      <w:r>
        <w:rPr>
          <w:sz w:val="24"/>
        </w:rPr>
        <w:t>Equipé d’un parafoudre en pied de mât, équipé d’une protection</w:t>
      </w:r>
      <w:r w:rsidR="00F46ACF">
        <w:rPr>
          <w:sz w:val="24"/>
        </w:rPr>
        <w:t xml:space="preserve"> de surtension mini de 7 kV.</w:t>
      </w:r>
    </w:p>
    <w:p w:rsidR="00945A8F" w:rsidRDefault="00945A8F" w:rsidP="00945A8F">
      <w:pPr>
        <w:pStyle w:val="Paragraphedeliste"/>
        <w:numPr>
          <w:ilvl w:val="0"/>
          <w:numId w:val="1"/>
        </w:numPr>
        <w:jc w:val="both"/>
        <w:rPr>
          <w:sz w:val="24"/>
        </w:rPr>
      </w:pPr>
      <w:r>
        <w:rPr>
          <w:sz w:val="24"/>
        </w:rPr>
        <w:t>Equipé d’un driver maxi de 700 mA, avec un facteur de maintenance L70B15 à 50.000 h pour une durée de 60.000 h.</w:t>
      </w:r>
    </w:p>
    <w:p w:rsidR="00945A8F" w:rsidRDefault="00945A8F" w:rsidP="00945A8F">
      <w:pPr>
        <w:pStyle w:val="Paragraphedeliste"/>
        <w:numPr>
          <w:ilvl w:val="0"/>
          <w:numId w:val="1"/>
        </w:numPr>
        <w:jc w:val="both"/>
        <w:rPr>
          <w:sz w:val="24"/>
        </w:rPr>
      </w:pPr>
      <w:r>
        <w:rPr>
          <w:sz w:val="24"/>
        </w:rPr>
        <w:t>Vasque en méthacrylate avec une efficacité mini de 80 Lumen/watt, maxi 85 lumen/watt.</w:t>
      </w:r>
    </w:p>
    <w:p w:rsidR="00945A8F" w:rsidRDefault="00945A8F" w:rsidP="00945A8F">
      <w:pPr>
        <w:jc w:val="both"/>
        <w:rPr>
          <w:sz w:val="24"/>
        </w:rPr>
      </w:pPr>
    </w:p>
    <w:p w:rsidR="00945A8F" w:rsidRDefault="00945A8F" w:rsidP="00945A8F">
      <w:pPr>
        <w:jc w:val="both"/>
        <w:rPr>
          <w:sz w:val="24"/>
          <w:u w:val="single"/>
        </w:rPr>
      </w:pPr>
      <w:r>
        <w:rPr>
          <w:sz w:val="24"/>
          <w:u w:val="single"/>
        </w:rPr>
        <w:t>Catégorie supérieure :</w:t>
      </w:r>
    </w:p>
    <w:p w:rsidR="00945A8F" w:rsidRDefault="00945A8F" w:rsidP="00945A8F">
      <w:pPr>
        <w:jc w:val="both"/>
        <w:rPr>
          <w:sz w:val="24"/>
          <w:u w:val="single"/>
        </w:rPr>
      </w:pPr>
    </w:p>
    <w:p w:rsidR="00945A8F" w:rsidRDefault="00945A8F" w:rsidP="00945A8F">
      <w:pPr>
        <w:pStyle w:val="Paragraphedeliste"/>
        <w:numPr>
          <w:ilvl w:val="0"/>
          <w:numId w:val="1"/>
        </w:numPr>
        <w:jc w:val="both"/>
        <w:rPr>
          <w:sz w:val="24"/>
        </w:rPr>
      </w:pPr>
      <w:r>
        <w:rPr>
          <w:sz w:val="24"/>
        </w:rPr>
        <w:t>Equipé d’un parafoudre en pied de mât, d’une protecti</w:t>
      </w:r>
      <w:r w:rsidR="00F46ACF">
        <w:rPr>
          <w:sz w:val="24"/>
        </w:rPr>
        <w:t>on de surtension mini de 7 kV</w:t>
      </w:r>
      <w:r>
        <w:rPr>
          <w:sz w:val="24"/>
        </w:rPr>
        <w:t xml:space="preserve"> et d’une sonde NTC.</w:t>
      </w:r>
    </w:p>
    <w:p w:rsidR="00945A8F" w:rsidRDefault="00945A8F" w:rsidP="00945A8F">
      <w:pPr>
        <w:pStyle w:val="Paragraphedeliste"/>
        <w:numPr>
          <w:ilvl w:val="0"/>
          <w:numId w:val="1"/>
        </w:numPr>
        <w:jc w:val="both"/>
        <w:rPr>
          <w:sz w:val="24"/>
        </w:rPr>
      </w:pPr>
      <w:r>
        <w:rPr>
          <w:sz w:val="24"/>
        </w:rPr>
        <w:t>Equipé d’un driver maxi de 700mA avec un facteur de maintenance L80B10 à 50.000</w:t>
      </w:r>
      <w:r w:rsidR="00CE4D4D">
        <w:rPr>
          <w:sz w:val="24"/>
        </w:rPr>
        <w:t xml:space="preserve"> </w:t>
      </w:r>
      <w:r>
        <w:rPr>
          <w:sz w:val="24"/>
        </w:rPr>
        <w:t>h pour une durée de 60.000</w:t>
      </w:r>
      <w:r w:rsidR="00CE4D4D">
        <w:rPr>
          <w:sz w:val="24"/>
        </w:rPr>
        <w:t xml:space="preserve"> </w:t>
      </w:r>
      <w:r>
        <w:rPr>
          <w:sz w:val="24"/>
        </w:rPr>
        <w:t>h.</w:t>
      </w:r>
    </w:p>
    <w:p w:rsidR="00945A8F" w:rsidRDefault="00945A8F" w:rsidP="00945A8F">
      <w:pPr>
        <w:pStyle w:val="Paragraphedeliste"/>
        <w:numPr>
          <w:ilvl w:val="0"/>
          <w:numId w:val="1"/>
        </w:numPr>
        <w:jc w:val="both"/>
        <w:rPr>
          <w:sz w:val="24"/>
        </w:rPr>
      </w:pPr>
      <w:r>
        <w:rPr>
          <w:sz w:val="24"/>
        </w:rPr>
        <w:t>Vasque en verre IK08</w:t>
      </w:r>
      <w:r w:rsidR="00CE4D4D">
        <w:rPr>
          <w:sz w:val="24"/>
        </w:rPr>
        <w:t xml:space="preserve"> mini avec une efficacité de 9</w:t>
      </w:r>
      <w:r>
        <w:rPr>
          <w:sz w:val="24"/>
        </w:rPr>
        <w:t>0 lumen/watt mini, 95 lumen/watt maxi.</w:t>
      </w:r>
    </w:p>
    <w:p w:rsidR="00945A8F" w:rsidRDefault="00945A8F" w:rsidP="00945A8F">
      <w:pPr>
        <w:jc w:val="both"/>
        <w:rPr>
          <w:sz w:val="24"/>
        </w:rPr>
      </w:pPr>
    </w:p>
    <w:p w:rsidR="00945A8F" w:rsidRPr="00945A8F" w:rsidRDefault="00945A8F" w:rsidP="00945A8F">
      <w:pPr>
        <w:jc w:val="both"/>
        <w:rPr>
          <w:sz w:val="24"/>
        </w:rPr>
      </w:pPr>
      <w:r>
        <w:rPr>
          <w:sz w:val="24"/>
        </w:rPr>
        <w:t>Les luminaires doivent répondre aux exigences IESL80-08 et IES TM 21-11 en terme de facteur de maintenance et à la norme NF.EN 13.201 et ces cinq parties.</w:t>
      </w:r>
    </w:p>
    <w:p w:rsidR="00FB7BC7" w:rsidRDefault="00FB7BC7" w:rsidP="00FB7BC7">
      <w:pPr>
        <w:ind w:left="709"/>
        <w:jc w:val="both"/>
        <w:rPr>
          <w:b/>
          <w:i/>
          <w:iCs/>
          <w:color w:val="008000"/>
          <w:sz w:val="28"/>
        </w:rPr>
      </w:pPr>
      <w:r>
        <w:rPr>
          <w:b/>
          <w:i/>
          <w:iCs/>
          <w:color w:val="008000"/>
          <w:sz w:val="28"/>
        </w:rPr>
        <w:lastRenderedPageBreak/>
        <w:t>Candélabres et mâts :</w:t>
      </w:r>
    </w:p>
    <w:p w:rsidR="00FB7BC7" w:rsidRDefault="00FB7BC7" w:rsidP="00FB7BC7">
      <w:pPr>
        <w:ind w:left="709"/>
        <w:jc w:val="both"/>
        <w:rPr>
          <w:b/>
          <w:sz w:val="24"/>
        </w:rPr>
      </w:pPr>
    </w:p>
    <w:p w:rsidR="00FB7BC7" w:rsidRDefault="00FB7BC7" w:rsidP="00FB7BC7">
      <w:pPr>
        <w:ind w:left="709"/>
        <w:jc w:val="both"/>
        <w:rPr>
          <w:b/>
          <w:sz w:val="24"/>
        </w:rPr>
      </w:pPr>
    </w:p>
    <w:p w:rsidR="00FB7BC7" w:rsidRDefault="00945D7C" w:rsidP="00FB7BC7">
      <w:pPr>
        <w:ind w:left="1418"/>
        <w:jc w:val="both"/>
        <w:rPr>
          <w:sz w:val="24"/>
        </w:rPr>
      </w:pPr>
      <w:r>
        <w:rPr>
          <w:sz w:val="24"/>
        </w:rPr>
        <w:sym w:font="Wingdings" w:char="F0F0"/>
      </w:r>
      <w:r w:rsidR="000A6223">
        <w:rPr>
          <w:sz w:val="24"/>
        </w:rPr>
        <w:t xml:space="preserve"> </w:t>
      </w:r>
      <w:proofErr w:type="gramStart"/>
      <w:r w:rsidR="000A6223">
        <w:rPr>
          <w:sz w:val="24"/>
        </w:rPr>
        <w:t>chacun</w:t>
      </w:r>
      <w:proofErr w:type="gramEnd"/>
      <w:r w:rsidR="000A6223">
        <w:rPr>
          <w:sz w:val="24"/>
        </w:rPr>
        <w:t xml:space="preserve"> des articles G-262, G-264, G-265, G-269, G-270, G-271, G-272 et G-273</w:t>
      </w:r>
      <w:r w:rsidR="00FB7BC7">
        <w:rPr>
          <w:sz w:val="24"/>
        </w:rPr>
        <w:t xml:space="preserve"> comprend la fourniture et pose :</w:t>
      </w:r>
    </w:p>
    <w:p w:rsidR="00FB7BC7" w:rsidRDefault="00FB7BC7" w:rsidP="00FB7BC7">
      <w:pPr>
        <w:ind w:left="1418"/>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w:t>
      </w:r>
      <w:proofErr w:type="gramEnd"/>
      <w:r w:rsidR="00FB7BC7">
        <w:rPr>
          <w:sz w:val="24"/>
        </w:rPr>
        <w:t xml:space="preserve"> candélabre ou mât avec plaque de base, porte de visite, embout de crosse, quelque soit le type de luminaire,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fouille, le massif en béton, les tiges de scellement, les fourreaux nécessaires au passage des câbles, le levage, la chape de finition,</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dispositif de passage en coupure de classe électrique II (</w:t>
      </w:r>
      <w:proofErr w:type="spellStart"/>
      <w:r w:rsidR="00FB7BC7">
        <w:rPr>
          <w:sz w:val="24"/>
        </w:rPr>
        <w:t>bornier</w:t>
      </w:r>
      <w:proofErr w:type="spellEnd"/>
      <w:r w:rsidR="00FB7BC7">
        <w:rPr>
          <w:sz w:val="24"/>
        </w:rPr>
        <w:t xml:space="preserve">) et son raccordement au réseau avec extrémités </w:t>
      </w:r>
      <w:proofErr w:type="spellStart"/>
      <w:r w:rsidR="00FB7BC7">
        <w:rPr>
          <w:sz w:val="24"/>
        </w:rPr>
        <w:t>thermorétractables</w:t>
      </w:r>
      <w:proofErr w:type="spellEnd"/>
      <w:r w:rsidR="00FB7BC7">
        <w:rPr>
          <w:sz w:val="24"/>
        </w:rPr>
        <w:t>, la mise à la terre, dans le cas d'une prise de terre individuelle ou le raccordement au circuit de terre, toutes fournitures comprises, dans le cas d'une terre collective,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réglage de verticalité du mât.</w:t>
      </w:r>
    </w:p>
    <w:p w:rsidR="00FB7BC7" w:rsidRDefault="00FB7BC7" w:rsidP="00FB7BC7">
      <w:pPr>
        <w:ind w:left="1985" w:hanging="284"/>
        <w:jc w:val="both"/>
        <w:rPr>
          <w:sz w:val="24"/>
        </w:rPr>
      </w:pPr>
    </w:p>
    <w:p w:rsidR="00FB7BC7" w:rsidRDefault="00945D7C" w:rsidP="00FB7BC7">
      <w:pPr>
        <w:ind w:left="1418"/>
        <w:jc w:val="both"/>
        <w:rPr>
          <w:sz w:val="24"/>
        </w:rPr>
      </w:pPr>
      <w:r>
        <w:rPr>
          <w:sz w:val="24"/>
        </w:rPr>
        <w:sym w:font="Wingdings" w:char="F0F0"/>
      </w:r>
      <w:r w:rsidR="000A6223">
        <w:rPr>
          <w:sz w:val="24"/>
        </w:rPr>
        <w:t xml:space="preserve"> </w:t>
      </w:r>
      <w:proofErr w:type="gramStart"/>
      <w:r w:rsidR="000A6223">
        <w:rPr>
          <w:sz w:val="24"/>
        </w:rPr>
        <w:t>les</w:t>
      </w:r>
      <w:proofErr w:type="gramEnd"/>
      <w:r w:rsidR="000A6223">
        <w:rPr>
          <w:sz w:val="24"/>
        </w:rPr>
        <w:t xml:space="preserve"> articles G-274 et G-275</w:t>
      </w:r>
      <w:r w:rsidR="00FB7BC7">
        <w:rPr>
          <w:sz w:val="24"/>
        </w:rPr>
        <w:t xml:space="preserve"> s'appliquent pour un traitement peinture par polymérisation après traitement de surface.</w:t>
      </w:r>
    </w:p>
    <w:p w:rsidR="00FB7BC7" w:rsidRDefault="00FB7BC7" w:rsidP="00FB7BC7">
      <w:pPr>
        <w:ind w:left="1418"/>
        <w:jc w:val="both"/>
        <w:rPr>
          <w:sz w:val="24"/>
        </w:rPr>
      </w:pPr>
    </w:p>
    <w:p w:rsidR="00FB7BC7" w:rsidRDefault="00FB7BC7" w:rsidP="00FB7BC7">
      <w:pPr>
        <w:ind w:left="1418"/>
        <w:jc w:val="both"/>
        <w:rPr>
          <w:sz w:val="24"/>
        </w:rPr>
      </w:pPr>
      <w:r>
        <w:rPr>
          <w:sz w:val="24"/>
        </w:rPr>
        <w:t xml:space="preserve">Cas particulier de la fonte : </w:t>
      </w:r>
      <w:proofErr w:type="gramStart"/>
      <w:r>
        <w:rPr>
          <w:sz w:val="24"/>
        </w:rPr>
        <w:t>le matériel</w:t>
      </w:r>
      <w:proofErr w:type="gramEnd"/>
      <w:r>
        <w:rPr>
          <w:sz w:val="24"/>
        </w:rPr>
        <w:t xml:space="preserve"> fonte doit recevoir une finition par métallisation suivant le norme internationale ISO 2063 avec poudrage polyester cuit au four.</w:t>
      </w:r>
    </w:p>
    <w:p w:rsidR="00FB7BC7" w:rsidRDefault="00FB7BC7" w:rsidP="00FB7BC7">
      <w:pPr>
        <w:ind w:left="1418"/>
        <w:jc w:val="both"/>
        <w:rPr>
          <w:b/>
          <w:sz w:val="24"/>
        </w:rPr>
      </w:pPr>
    </w:p>
    <w:p w:rsidR="00FB7BC7" w:rsidRDefault="00FB7BC7" w:rsidP="00FB7BC7">
      <w:pPr>
        <w:ind w:left="709"/>
        <w:jc w:val="both"/>
        <w:rPr>
          <w:b/>
          <w:i/>
          <w:iCs/>
          <w:color w:val="008000"/>
          <w:sz w:val="28"/>
        </w:rPr>
      </w:pPr>
      <w:r>
        <w:rPr>
          <w:b/>
          <w:i/>
          <w:iCs/>
          <w:color w:val="008000"/>
          <w:sz w:val="28"/>
        </w:rPr>
        <w:t>Projecteurs :</w:t>
      </w:r>
    </w:p>
    <w:p w:rsidR="00FB7BC7" w:rsidRDefault="00FB7BC7" w:rsidP="00191758">
      <w:pPr>
        <w:jc w:val="both"/>
        <w:rPr>
          <w:b/>
          <w:sz w:val="24"/>
        </w:rPr>
      </w:pPr>
    </w:p>
    <w:p w:rsidR="00FB7BC7" w:rsidRDefault="00945D7C" w:rsidP="00FB7BC7">
      <w:pPr>
        <w:ind w:left="1418"/>
        <w:jc w:val="both"/>
        <w:rPr>
          <w:sz w:val="24"/>
        </w:rPr>
      </w:pPr>
      <w:r>
        <w:rPr>
          <w:sz w:val="24"/>
        </w:rPr>
        <w:sym w:font="Wingdings" w:char="F0F0"/>
      </w:r>
      <w:r w:rsidR="000622D0">
        <w:rPr>
          <w:sz w:val="24"/>
        </w:rPr>
        <w:t xml:space="preserve"> </w:t>
      </w:r>
      <w:proofErr w:type="gramStart"/>
      <w:r w:rsidR="000622D0">
        <w:rPr>
          <w:sz w:val="24"/>
        </w:rPr>
        <w:t>chacun</w:t>
      </w:r>
      <w:proofErr w:type="gramEnd"/>
      <w:r w:rsidR="000622D0">
        <w:rPr>
          <w:sz w:val="24"/>
        </w:rPr>
        <w:t xml:space="preserve"> des articles G-254, G-255, G-256, G-257, G-258, G-25</w:t>
      </w:r>
      <w:r w:rsidR="00B90C1B">
        <w:rPr>
          <w:sz w:val="24"/>
        </w:rPr>
        <w:t>9</w:t>
      </w:r>
      <w:r w:rsidR="000622D0">
        <w:rPr>
          <w:sz w:val="24"/>
        </w:rPr>
        <w:t xml:space="preserve"> et G260</w:t>
      </w:r>
      <w:r w:rsidR="00FB7BC7">
        <w:rPr>
          <w:sz w:val="24"/>
        </w:rPr>
        <w:t xml:space="preserve"> comprend la fourniture, la pose et le réglage :</w:t>
      </w:r>
    </w:p>
    <w:p w:rsidR="00FB7BC7" w:rsidRDefault="00FB7BC7" w:rsidP="00FB7BC7">
      <w:pPr>
        <w:ind w:left="1418"/>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w:t>
      </w:r>
      <w:proofErr w:type="gramEnd"/>
      <w:r w:rsidR="00FB7BC7">
        <w:rPr>
          <w:sz w:val="24"/>
        </w:rPr>
        <w:t xml:space="preserve"> projecteur avec appareillage,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de</w:t>
      </w:r>
      <w:proofErr w:type="gramEnd"/>
      <w:r w:rsidR="00FB7BC7">
        <w:rPr>
          <w:sz w:val="24"/>
        </w:rPr>
        <w:t xml:space="preserve"> la platine éventuelle avec dispositif de protection,</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des</w:t>
      </w:r>
      <w:proofErr w:type="gramEnd"/>
      <w:r w:rsidR="00FB7BC7">
        <w:rPr>
          <w:sz w:val="24"/>
        </w:rPr>
        <w:t xml:space="preserve"> différents raccordements et liaisons électriques (câbles non compris), platine, lampe et </w:t>
      </w:r>
      <w:proofErr w:type="spellStart"/>
      <w:r w:rsidR="00FB7BC7">
        <w:rPr>
          <w:sz w:val="24"/>
        </w:rPr>
        <w:t>bornier</w:t>
      </w:r>
      <w:proofErr w:type="spellEnd"/>
      <w:r w:rsidR="00FB7BC7">
        <w:rPr>
          <w:sz w:val="24"/>
        </w:rPr>
        <w:t xml:space="preserve"> platine ou </w:t>
      </w:r>
      <w:proofErr w:type="spellStart"/>
      <w:r w:rsidR="00FB7BC7">
        <w:rPr>
          <w:sz w:val="24"/>
        </w:rPr>
        <w:t>bornier</w:t>
      </w:r>
      <w:proofErr w:type="spellEnd"/>
      <w:r w:rsidR="00FB7BC7">
        <w:rPr>
          <w:sz w:val="24"/>
        </w:rPr>
        <w:t xml:space="preserve"> lampe,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classe II du matériel et III pour les projecteurs immergeable.</w:t>
      </w:r>
    </w:p>
    <w:p w:rsidR="00FB7BC7" w:rsidRDefault="00FB7BC7" w:rsidP="00FB7BC7">
      <w:pPr>
        <w:ind w:left="1985" w:hanging="284"/>
        <w:jc w:val="both"/>
        <w:rPr>
          <w:sz w:val="24"/>
        </w:rPr>
      </w:pPr>
    </w:p>
    <w:p w:rsidR="00FB7BC7" w:rsidRDefault="00945D7C" w:rsidP="00FB7BC7">
      <w:pPr>
        <w:ind w:left="1418"/>
        <w:jc w:val="both"/>
        <w:rPr>
          <w:sz w:val="24"/>
        </w:rPr>
      </w:pPr>
      <w:r>
        <w:rPr>
          <w:sz w:val="24"/>
        </w:rPr>
        <w:sym w:font="Wingdings" w:char="F0F0"/>
      </w:r>
      <w:r w:rsidR="00191758">
        <w:rPr>
          <w:sz w:val="24"/>
        </w:rPr>
        <w:t xml:space="preserve"> </w:t>
      </w:r>
      <w:proofErr w:type="gramStart"/>
      <w:r w:rsidR="00191758">
        <w:rPr>
          <w:sz w:val="24"/>
        </w:rPr>
        <w:t>l'article</w:t>
      </w:r>
      <w:proofErr w:type="gramEnd"/>
      <w:r w:rsidR="00191758">
        <w:rPr>
          <w:sz w:val="24"/>
        </w:rPr>
        <w:t xml:space="preserve"> G-286</w:t>
      </w:r>
      <w:r w:rsidR="00FB7BC7">
        <w:rPr>
          <w:sz w:val="24"/>
        </w:rPr>
        <w:t xml:space="preserve"> comprend : </w:t>
      </w:r>
    </w:p>
    <w:p w:rsidR="00FB7BC7" w:rsidRDefault="00FB7BC7" w:rsidP="00FB7BC7">
      <w:pPr>
        <w:ind w:left="1418"/>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lit de gravier (30 cm pour drainage, la mise en place du pot d'encastrement, les connexions, la collerette et la fixation de l'appareil dans le pot.</w:t>
      </w:r>
    </w:p>
    <w:p w:rsidR="00FB7BC7" w:rsidRDefault="00FB7BC7" w:rsidP="00191758">
      <w:pPr>
        <w:jc w:val="both"/>
        <w:rPr>
          <w:sz w:val="24"/>
        </w:rPr>
      </w:pPr>
    </w:p>
    <w:p w:rsidR="00FB7BC7" w:rsidRDefault="00FB7BC7" w:rsidP="00FB7BC7">
      <w:pPr>
        <w:ind w:left="709"/>
        <w:jc w:val="both"/>
        <w:rPr>
          <w:b/>
          <w:i/>
          <w:iCs/>
          <w:color w:val="008000"/>
          <w:sz w:val="28"/>
        </w:rPr>
      </w:pPr>
      <w:proofErr w:type="gramStart"/>
      <w:r>
        <w:rPr>
          <w:b/>
          <w:i/>
          <w:iCs/>
          <w:color w:val="008000"/>
          <w:sz w:val="28"/>
        </w:rPr>
        <w:t>Bornes</w:t>
      </w:r>
      <w:proofErr w:type="gramEnd"/>
      <w:r>
        <w:rPr>
          <w:b/>
          <w:i/>
          <w:iCs/>
          <w:color w:val="008000"/>
          <w:sz w:val="28"/>
        </w:rPr>
        <w:t xml:space="preserve"> :</w:t>
      </w:r>
    </w:p>
    <w:p w:rsidR="00FB7BC7" w:rsidRDefault="00FB7BC7" w:rsidP="00191758">
      <w:pPr>
        <w:jc w:val="both"/>
        <w:rPr>
          <w:b/>
          <w:sz w:val="24"/>
        </w:rPr>
      </w:pPr>
    </w:p>
    <w:p w:rsidR="00FB7BC7" w:rsidRDefault="00945D7C" w:rsidP="00FB7BC7">
      <w:pPr>
        <w:ind w:left="1418"/>
        <w:jc w:val="both"/>
        <w:rPr>
          <w:sz w:val="24"/>
        </w:rPr>
      </w:pPr>
      <w:r>
        <w:rPr>
          <w:sz w:val="24"/>
        </w:rPr>
        <w:sym w:font="Wingdings" w:char="F0F0"/>
      </w:r>
      <w:r w:rsidR="00191758">
        <w:rPr>
          <w:sz w:val="24"/>
        </w:rPr>
        <w:t>L'article G-253</w:t>
      </w:r>
      <w:r w:rsidR="00FB7BC7">
        <w:rPr>
          <w:sz w:val="24"/>
        </w:rPr>
        <w:t xml:space="preserve"> comprend la fourniture et la pose :</w:t>
      </w:r>
    </w:p>
    <w:p w:rsidR="00FB7BC7" w:rsidRDefault="00FB7BC7" w:rsidP="00FB7BC7">
      <w:pPr>
        <w:ind w:left="1418"/>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d'une</w:t>
      </w:r>
      <w:proofErr w:type="gramEnd"/>
      <w:r w:rsidR="00FB7BC7">
        <w:rPr>
          <w:sz w:val="24"/>
        </w:rPr>
        <w:t xml:space="preserve"> borne quelque soit le type de source,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fouille, le massif en béton, les tiges de scellement, les fourreaux nécessaires au passage des câbles, le levage, la chape de finition,</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dispositif de passage en coupure de classe électrique II (</w:t>
      </w:r>
      <w:proofErr w:type="spellStart"/>
      <w:r w:rsidR="00FB7BC7">
        <w:rPr>
          <w:sz w:val="24"/>
        </w:rPr>
        <w:t>bornier</w:t>
      </w:r>
      <w:proofErr w:type="spellEnd"/>
      <w:r w:rsidR="00FB7BC7">
        <w:rPr>
          <w:sz w:val="24"/>
        </w:rPr>
        <w:t xml:space="preserve">) et son raccordement au réseau avec extrémités </w:t>
      </w:r>
      <w:proofErr w:type="spellStart"/>
      <w:r w:rsidR="00FB7BC7">
        <w:rPr>
          <w:sz w:val="24"/>
        </w:rPr>
        <w:t>thermorétractables</w:t>
      </w:r>
      <w:proofErr w:type="spellEnd"/>
      <w:r w:rsidR="00FB7BC7">
        <w:rPr>
          <w:sz w:val="24"/>
        </w:rPr>
        <w:t xml:space="preserve">, la mise à la </w:t>
      </w:r>
      <w:r w:rsidR="00FB7BC7">
        <w:rPr>
          <w:sz w:val="24"/>
        </w:rPr>
        <w:lastRenderedPageBreak/>
        <w:t>terre dans le cas d'une prise de terre individuelle ou le raccordement au circuit de terre, toutes fournitures comprises, dans le cas d'une terre collective,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réglage de la verticalité de la borne.</w:t>
      </w:r>
    </w:p>
    <w:p w:rsidR="00FB7BC7" w:rsidRDefault="00FB7BC7" w:rsidP="00191758">
      <w:pPr>
        <w:jc w:val="both"/>
        <w:rPr>
          <w:sz w:val="24"/>
        </w:rPr>
      </w:pPr>
    </w:p>
    <w:p w:rsidR="00FB7BC7" w:rsidRDefault="00FB7BC7" w:rsidP="00FB7BC7">
      <w:pPr>
        <w:ind w:left="709"/>
        <w:jc w:val="both"/>
        <w:rPr>
          <w:b/>
          <w:i/>
          <w:iCs/>
          <w:color w:val="008000"/>
          <w:sz w:val="28"/>
        </w:rPr>
      </w:pPr>
      <w:r>
        <w:rPr>
          <w:b/>
          <w:i/>
          <w:iCs/>
          <w:color w:val="008000"/>
          <w:sz w:val="28"/>
        </w:rPr>
        <w:t>Mât photovoltaïque :</w:t>
      </w:r>
    </w:p>
    <w:p w:rsidR="00FB7BC7" w:rsidRDefault="00FB7BC7" w:rsidP="00191758">
      <w:pPr>
        <w:jc w:val="both"/>
        <w:rPr>
          <w:b/>
          <w:sz w:val="24"/>
        </w:rPr>
      </w:pPr>
    </w:p>
    <w:p w:rsidR="00FB7BC7" w:rsidRDefault="00191758" w:rsidP="00FB7BC7">
      <w:pPr>
        <w:ind w:left="1418"/>
        <w:jc w:val="both"/>
        <w:rPr>
          <w:sz w:val="24"/>
        </w:rPr>
      </w:pPr>
      <w:r>
        <w:rPr>
          <w:sz w:val="24"/>
        </w:rPr>
        <w:t>Les articles G-300 et G-301</w:t>
      </w:r>
      <w:r w:rsidR="00FB7BC7">
        <w:rPr>
          <w:sz w:val="24"/>
        </w:rPr>
        <w:t xml:space="preserve"> comprennent la fourniture et la pose :</w:t>
      </w:r>
    </w:p>
    <w:p w:rsidR="00FB7BC7" w:rsidRDefault="00FB7BC7" w:rsidP="00FB7BC7">
      <w:pPr>
        <w:ind w:left="1418"/>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w:t>
      </w:r>
      <w:proofErr w:type="gramEnd"/>
      <w:r w:rsidR="00FB7BC7">
        <w:rPr>
          <w:sz w:val="24"/>
        </w:rPr>
        <w:t xml:space="preserve"> mât équipé d'un système autonome de production d'électricité photovoltaïque, d'un luminaire et des câbles et protections électriques,</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fouille, le massif en béton, les tiges de scellement, le levage, la chape de finition,</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l'ensemble</w:t>
      </w:r>
      <w:proofErr w:type="gramEnd"/>
      <w:r w:rsidR="00FB7BC7">
        <w:rPr>
          <w:sz w:val="24"/>
        </w:rPr>
        <w:t xml:space="preserve"> du dispositif électrique assurant le bon fonctionnement dont l'horloge astronomique et la batterie,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réglage de verticalité du mât, de l'horloge.</w:t>
      </w:r>
    </w:p>
    <w:p w:rsidR="00FB7BC7" w:rsidRDefault="00FB7BC7" w:rsidP="00191758">
      <w:pPr>
        <w:jc w:val="both"/>
        <w:rPr>
          <w:sz w:val="24"/>
        </w:rPr>
      </w:pPr>
    </w:p>
    <w:p w:rsidR="00883346" w:rsidRDefault="00883346" w:rsidP="00191758">
      <w:pPr>
        <w:jc w:val="both"/>
        <w:rPr>
          <w:sz w:val="24"/>
        </w:rPr>
      </w:pPr>
    </w:p>
    <w:p w:rsidR="00883346" w:rsidRDefault="00883346" w:rsidP="00191758">
      <w:pPr>
        <w:jc w:val="both"/>
        <w:rPr>
          <w:sz w:val="24"/>
        </w:rPr>
      </w:pPr>
    </w:p>
    <w:p w:rsidR="00FB7BC7" w:rsidRDefault="00FB7BC7" w:rsidP="00FB7BC7">
      <w:pPr>
        <w:ind w:left="709"/>
        <w:jc w:val="both"/>
        <w:rPr>
          <w:b/>
          <w:i/>
          <w:iCs/>
          <w:color w:val="008000"/>
          <w:sz w:val="28"/>
        </w:rPr>
      </w:pPr>
      <w:r>
        <w:rPr>
          <w:b/>
          <w:i/>
          <w:iCs/>
          <w:color w:val="008000"/>
          <w:sz w:val="28"/>
        </w:rPr>
        <w:t>Armoire de régulation de tension :</w:t>
      </w:r>
    </w:p>
    <w:p w:rsidR="00FB7BC7" w:rsidRDefault="00FB7BC7" w:rsidP="00191758">
      <w:pPr>
        <w:jc w:val="both"/>
        <w:rPr>
          <w:b/>
          <w:sz w:val="24"/>
        </w:rPr>
      </w:pPr>
    </w:p>
    <w:p w:rsidR="00FB7BC7" w:rsidRDefault="00191758" w:rsidP="00FB7BC7">
      <w:pPr>
        <w:ind w:left="1418"/>
        <w:jc w:val="both"/>
        <w:rPr>
          <w:sz w:val="24"/>
        </w:rPr>
      </w:pPr>
      <w:r>
        <w:rPr>
          <w:sz w:val="24"/>
        </w:rPr>
        <w:t>L'article G-306</w:t>
      </w:r>
      <w:r w:rsidR="00FB7BC7">
        <w:rPr>
          <w:sz w:val="24"/>
        </w:rPr>
        <w:t xml:space="preserve"> comprend la fourniture et la pose :</w:t>
      </w:r>
    </w:p>
    <w:p w:rsidR="00191758" w:rsidRDefault="00191758" w:rsidP="00883346">
      <w:pPr>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d'une</w:t>
      </w:r>
      <w:proofErr w:type="gramEnd"/>
      <w:r w:rsidR="00FB7BC7">
        <w:rPr>
          <w:sz w:val="24"/>
        </w:rPr>
        <w:t xml:space="preserve"> armoire de régulation de tension totalement équipée,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la</w:t>
      </w:r>
      <w:proofErr w:type="gramEnd"/>
      <w:r w:rsidR="00FB7BC7">
        <w:rPr>
          <w:sz w:val="24"/>
        </w:rPr>
        <w:t xml:space="preserve"> fouille, le massif, la dalle, les tiges de scellement, fourreaux nécessaires au passage des câbles, le levage et la finition du béton,</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l'ensemble</w:t>
      </w:r>
      <w:proofErr w:type="gramEnd"/>
      <w:r w:rsidR="00FB7BC7">
        <w:rPr>
          <w:sz w:val="24"/>
        </w:rPr>
        <w:t xml:space="preserve"> des dispositifs électrique et leurs raccordements, extrémités </w:t>
      </w:r>
      <w:proofErr w:type="spellStart"/>
      <w:r w:rsidR="00FB7BC7">
        <w:rPr>
          <w:sz w:val="24"/>
        </w:rPr>
        <w:t>thermorétractables</w:t>
      </w:r>
      <w:proofErr w:type="spellEnd"/>
      <w:r w:rsidR="00FB7BC7">
        <w:rPr>
          <w:sz w:val="24"/>
        </w:rPr>
        <w:t xml:space="preserve"> comprises, la mise à la terre,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le</w:t>
      </w:r>
      <w:proofErr w:type="gramEnd"/>
      <w:r w:rsidR="00FB7BC7">
        <w:rPr>
          <w:sz w:val="24"/>
        </w:rPr>
        <w:t xml:space="preserve"> réglage de l'armoire à la mise en service, et de l'horloge.</w:t>
      </w:r>
    </w:p>
    <w:p w:rsidR="00FB7BC7" w:rsidRDefault="00FB7BC7" w:rsidP="00FB7BC7">
      <w:pPr>
        <w:jc w:val="both"/>
        <w:rPr>
          <w:sz w:val="24"/>
        </w:rPr>
      </w:pPr>
    </w:p>
    <w:p w:rsidR="00FB7BC7" w:rsidRDefault="00FB7BC7" w:rsidP="00FB7BC7">
      <w:pPr>
        <w:jc w:val="both"/>
        <w:rPr>
          <w:sz w:val="24"/>
        </w:rPr>
      </w:pPr>
    </w:p>
    <w:p w:rsidR="00FB7BC7" w:rsidRDefault="00FB7BC7" w:rsidP="00FB7BC7">
      <w:pPr>
        <w:ind w:left="709"/>
        <w:jc w:val="both"/>
        <w:rPr>
          <w:b/>
          <w:i/>
          <w:iCs/>
          <w:color w:val="008000"/>
          <w:sz w:val="28"/>
        </w:rPr>
      </w:pPr>
      <w:r>
        <w:rPr>
          <w:b/>
          <w:i/>
          <w:iCs/>
          <w:color w:val="008000"/>
          <w:sz w:val="28"/>
        </w:rPr>
        <w:t>Réglette LED :</w:t>
      </w:r>
    </w:p>
    <w:p w:rsidR="00FB7BC7" w:rsidRDefault="00FB7BC7" w:rsidP="00191758">
      <w:pPr>
        <w:jc w:val="both"/>
        <w:rPr>
          <w:b/>
          <w:sz w:val="24"/>
        </w:rPr>
      </w:pPr>
    </w:p>
    <w:p w:rsidR="00FB7BC7" w:rsidRDefault="00FB7BC7" w:rsidP="00FB7BC7">
      <w:pPr>
        <w:ind w:left="1418"/>
        <w:jc w:val="both"/>
        <w:rPr>
          <w:sz w:val="24"/>
        </w:rPr>
      </w:pPr>
      <w:r>
        <w:rPr>
          <w:sz w:val="24"/>
        </w:rPr>
        <w:t>L'article G-297 comprend la fourniture et la pose :</w:t>
      </w:r>
    </w:p>
    <w:p w:rsidR="00FB7BC7" w:rsidRDefault="00FB7BC7" w:rsidP="00FB7BC7">
      <w:pPr>
        <w:ind w:left="1418"/>
        <w:jc w:val="both"/>
        <w:rPr>
          <w:sz w:val="24"/>
        </w:rPr>
      </w:pP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d'une</w:t>
      </w:r>
      <w:proofErr w:type="gramEnd"/>
      <w:r w:rsidR="00FB7BC7">
        <w:rPr>
          <w:sz w:val="24"/>
        </w:rPr>
        <w:t xml:space="preserve"> réglette LED avec son étrier de fixation,</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w:t>
      </w:r>
      <w:proofErr w:type="gramEnd"/>
      <w:r w:rsidR="00FB7BC7">
        <w:rPr>
          <w:sz w:val="24"/>
        </w:rPr>
        <w:t xml:space="preserve"> transformateur alimentant la réglette,</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w:t>
      </w:r>
      <w:proofErr w:type="gramEnd"/>
      <w:r w:rsidR="00FB7BC7">
        <w:rPr>
          <w:sz w:val="24"/>
        </w:rPr>
        <w:t xml:space="preserve"> câble et de l'ensemble des raccordements associé au dispositif.</w:t>
      </w:r>
    </w:p>
    <w:p w:rsidR="00FB7BC7" w:rsidRDefault="00FB7BC7" w:rsidP="00883346">
      <w:pPr>
        <w:jc w:val="both"/>
        <w:rPr>
          <w:sz w:val="24"/>
        </w:rPr>
      </w:pPr>
    </w:p>
    <w:p w:rsidR="00FB7BC7" w:rsidRDefault="00FB7BC7" w:rsidP="00FB7BC7">
      <w:pPr>
        <w:ind w:left="709"/>
        <w:jc w:val="both"/>
        <w:rPr>
          <w:b/>
          <w:i/>
          <w:iCs/>
          <w:color w:val="008000"/>
          <w:sz w:val="28"/>
        </w:rPr>
      </w:pPr>
      <w:r>
        <w:rPr>
          <w:b/>
          <w:i/>
          <w:iCs/>
          <w:color w:val="008000"/>
          <w:sz w:val="28"/>
        </w:rPr>
        <w:t>Encastré mural LED</w:t>
      </w:r>
      <w:r w:rsidR="00191758">
        <w:rPr>
          <w:b/>
          <w:i/>
          <w:iCs/>
          <w:color w:val="008000"/>
          <w:sz w:val="28"/>
        </w:rPr>
        <w:t xml:space="preserve"> et réglette LED</w:t>
      </w:r>
      <w:r>
        <w:rPr>
          <w:b/>
          <w:i/>
          <w:iCs/>
          <w:color w:val="008000"/>
          <w:sz w:val="28"/>
        </w:rPr>
        <w:t xml:space="preserve"> :</w:t>
      </w:r>
    </w:p>
    <w:p w:rsidR="00FB7BC7" w:rsidRDefault="00FB7BC7" w:rsidP="00191758">
      <w:pPr>
        <w:jc w:val="both"/>
        <w:rPr>
          <w:b/>
          <w:sz w:val="24"/>
        </w:rPr>
      </w:pPr>
    </w:p>
    <w:p w:rsidR="00FB7BC7" w:rsidRDefault="00191758" w:rsidP="00FB7BC7">
      <w:pPr>
        <w:ind w:left="1418"/>
        <w:jc w:val="both"/>
        <w:rPr>
          <w:sz w:val="24"/>
        </w:rPr>
      </w:pPr>
      <w:r>
        <w:rPr>
          <w:sz w:val="24"/>
        </w:rPr>
        <w:t xml:space="preserve">Les </w:t>
      </w:r>
      <w:r w:rsidR="00FB7BC7">
        <w:rPr>
          <w:sz w:val="24"/>
        </w:rPr>
        <w:t>article</w:t>
      </w:r>
      <w:r>
        <w:rPr>
          <w:sz w:val="24"/>
        </w:rPr>
        <w:t>s G-303 et G-304 comprennent</w:t>
      </w:r>
      <w:r w:rsidR="00FB7BC7">
        <w:rPr>
          <w:sz w:val="24"/>
        </w:rPr>
        <w:t xml:space="preserve"> la fourniture et la pose :</w:t>
      </w:r>
    </w:p>
    <w:p w:rsidR="00FB7BC7" w:rsidRDefault="00FB7BC7" w:rsidP="00FB7BC7">
      <w:pPr>
        <w:ind w:left="1418"/>
        <w:jc w:val="both"/>
        <w:rPr>
          <w:sz w:val="24"/>
        </w:rPr>
      </w:pPr>
    </w:p>
    <w:p w:rsidR="00FB7BC7" w:rsidRDefault="00945D7C" w:rsidP="00FB7BC7">
      <w:pPr>
        <w:ind w:left="1985" w:hanging="284"/>
        <w:jc w:val="both"/>
        <w:rPr>
          <w:sz w:val="24"/>
        </w:rPr>
      </w:pPr>
      <w:bookmarkStart w:id="0" w:name="OLE_LINK1"/>
      <w:r>
        <w:rPr>
          <w:sz w:val="24"/>
        </w:rPr>
        <w:sym w:font="Wingdings" w:char="F0F0"/>
      </w:r>
      <w:r w:rsidR="00FB7BC7">
        <w:rPr>
          <w:sz w:val="24"/>
        </w:rPr>
        <w:t xml:space="preserve"> </w:t>
      </w:r>
      <w:bookmarkEnd w:id="0"/>
      <w:proofErr w:type="gramStart"/>
      <w:r w:rsidR="00191758">
        <w:rPr>
          <w:sz w:val="24"/>
        </w:rPr>
        <w:t>d'un</w:t>
      </w:r>
      <w:proofErr w:type="gramEnd"/>
      <w:r w:rsidR="00191758">
        <w:rPr>
          <w:sz w:val="24"/>
        </w:rPr>
        <w:t xml:space="preserve"> encastré mural LED ou d’une réglette LED,</w:t>
      </w:r>
    </w:p>
    <w:p w:rsidR="00FB7BC7" w:rsidRDefault="00945D7C" w:rsidP="00FB7BC7">
      <w:pPr>
        <w:ind w:left="1985" w:hanging="284"/>
        <w:jc w:val="both"/>
        <w:rPr>
          <w:sz w:val="24"/>
        </w:rPr>
      </w:pPr>
      <w:r>
        <w:rPr>
          <w:sz w:val="24"/>
        </w:rPr>
        <w:sym w:font="Wingdings" w:char="F0F0"/>
      </w:r>
      <w:r>
        <w:rPr>
          <w:sz w:val="24"/>
        </w:rPr>
        <w:t xml:space="preserve"> </w:t>
      </w:r>
      <w:proofErr w:type="gramStart"/>
      <w:r w:rsidR="00FB7BC7">
        <w:rPr>
          <w:sz w:val="24"/>
        </w:rPr>
        <w:t>du</w:t>
      </w:r>
      <w:proofErr w:type="gramEnd"/>
      <w:r w:rsidR="00FB7BC7">
        <w:rPr>
          <w:sz w:val="24"/>
        </w:rPr>
        <w:t xml:space="preserve"> transformateur associé,</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de</w:t>
      </w:r>
      <w:proofErr w:type="gramEnd"/>
      <w:r w:rsidR="00FB7BC7">
        <w:rPr>
          <w:sz w:val="24"/>
        </w:rPr>
        <w:t xml:space="preserve"> l'encastrement et de la réfection éventuelle du mur,</w:t>
      </w:r>
    </w:p>
    <w:p w:rsidR="00FB7BC7" w:rsidRDefault="00945D7C" w:rsidP="00FB7BC7">
      <w:pPr>
        <w:ind w:left="1985" w:hanging="284"/>
        <w:jc w:val="both"/>
        <w:rPr>
          <w:sz w:val="24"/>
        </w:rPr>
      </w:pPr>
      <w:r>
        <w:rPr>
          <w:sz w:val="24"/>
        </w:rPr>
        <w:sym w:font="Wingdings" w:char="F0F0"/>
      </w:r>
      <w:r w:rsidR="00FB7BC7">
        <w:rPr>
          <w:sz w:val="24"/>
        </w:rPr>
        <w:t xml:space="preserve"> </w:t>
      </w:r>
      <w:proofErr w:type="gramStart"/>
      <w:r w:rsidR="00FB7BC7">
        <w:rPr>
          <w:sz w:val="24"/>
        </w:rPr>
        <w:t>du</w:t>
      </w:r>
      <w:proofErr w:type="gramEnd"/>
      <w:r w:rsidR="00FB7BC7">
        <w:rPr>
          <w:sz w:val="24"/>
        </w:rPr>
        <w:t xml:space="preserve"> câble et de l'ensemble des raccordements associés au dispositif.</w:t>
      </w:r>
    </w:p>
    <w:p w:rsidR="00FB7BC7" w:rsidRDefault="00FB7BC7" w:rsidP="00FB7BC7">
      <w:pPr>
        <w:jc w:val="both"/>
        <w:rPr>
          <w:sz w:val="24"/>
        </w:rPr>
      </w:pPr>
    </w:p>
    <w:p w:rsidR="00F348BD" w:rsidRDefault="00F348BD" w:rsidP="00FB7BC7">
      <w:pPr>
        <w:jc w:val="both"/>
        <w:rPr>
          <w:sz w:val="24"/>
        </w:rPr>
      </w:pPr>
    </w:p>
    <w:p w:rsidR="00F348BD" w:rsidRDefault="00F348BD" w:rsidP="00FB7BC7">
      <w:pPr>
        <w:jc w:val="both"/>
        <w:rPr>
          <w:sz w:val="24"/>
        </w:rPr>
      </w:pPr>
    </w:p>
    <w:p w:rsidR="00191758" w:rsidRDefault="00191758" w:rsidP="00191758">
      <w:pPr>
        <w:ind w:left="709"/>
        <w:jc w:val="both"/>
        <w:rPr>
          <w:b/>
          <w:i/>
          <w:iCs/>
          <w:color w:val="008000"/>
          <w:sz w:val="28"/>
        </w:rPr>
      </w:pPr>
      <w:r>
        <w:rPr>
          <w:b/>
          <w:i/>
          <w:iCs/>
          <w:color w:val="008000"/>
          <w:sz w:val="28"/>
        </w:rPr>
        <w:lastRenderedPageBreak/>
        <w:t>Borne de charge accélérée ou rapide :</w:t>
      </w:r>
    </w:p>
    <w:p w:rsidR="00191758" w:rsidRDefault="00191758" w:rsidP="00191758">
      <w:pPr>
        <w:jc w:val="both"/>
        <w:rPr>
          <w:b/>
          <w:i/>
          <w:iCs/>
          <w:color w:val="008000"/>
          <w:sz w:val="28"/>
        </w:rPr>
      </w:pPr>
    </w:p>
    <w:p w:rsidR="00191758" w:rsidRDefault="00191758" w:rsidP="00191758">
      <w:pPr>
        <w:ind w:left="1418"/>
        <w:jc w:val="both"/>
        <w:rPr>
          <w:sz w:val="24"/>
        </w:rPr>
      </w:pPr>
      <w:r>
        <w:rPr>
          <w:sz w:val="24"/>
        </w:rPr>
        <w:t>L’article G-308 rémunère la borne dont le descriptif est au CCTP. Il comprend :</w:t>
      </w:r>
    </w:p>
    <w:p w:rsidR="00191758" w:rsidRDefault="00191758" w:rsidP="00191758">
      <w:pPr>
        <w:ind w:left="1418"/>
        <w:jc w:val="both"/>
        <w:rPr>
          <w:sz w:val="24"/>
        </w:rPr>
      </w:pPr>
    </w:p>
    <w:p w:rsidR="00191758" w:rsidRDefault="00945D7C" w:rsidP="00191758">
      <w:pPr>
        <w:ind w:left="1985" w:hanging="284"/>
        <w:jc w:val="both"/>
        <w:rPr>
          <w:sz w:val="24"/>
        </w:rPr>
      </w:pPr>
      <w:r>
        <w:rPr>
          <w:sz w:val="24"/>
        </w:rPr>
        <w:sym w:font="Wingdings" w:char="F0F0"/>
      </w:r>
      <w:r w:rsidR="00191758">
        <w:rPr>
          <w:sz w:val="24"/>
        </w:rPr>
        <w:t xml:space="preserve"> </w:t>
      </w:r>
      <w:proofErr w:type="gramStart"/>
      <w:r w:rsidR="00191758">
        <w:rPr>
          <w:sz w:val="24"/>
        </w:rPr>
        <w:t>la</w:t>
      </w:r>
      <w:proofErr w:type="gramEnd"/>
      <w:r w:rsidR="00191758">
        <w:rPr>
          <w:sz w:val="24"/>
        </w:rPr>
        <w:t xml:space="preserve"> fourniture et pose de la borne,</w:t>
      </w:r>
    </w:p>
    <w:p w:rsidR="00191758" w:rsidRDefault="00945D7C" w:rsidP="00191758">
      <w:pPr>
        <w:ind w:left="1985" w:hanging="284"/>
        <w:jc w:val="both"/>
        <w:rPr>
          <w:sz w:val="24"/>
        </w:rPr>
      </w:pPr>
      <w:r>
        <w:rPr>
          <w:sz w:val="24"/>
        </w:rPr>
        <w:sym w:font="Wingdings" w:char="F0F0"/>
      </w:r>
      <w:r w:rsidR="00191758">
        <w:rPr>
          <w:sz w:val="24"/>
        </w:rPr>
        <w:t xml:space="preserve"> </w:t>
      </w:r>
      <w:proofErr w:type="gramStart"/>
      <w:r w:rsidR="00191758">
        <w:rPr>
          <w:sz w:val="24"/>
        </w:rPr>
        <w:t>la</w:t>
      </w:r>
      <w:proofErr w:type="gramEnd"/>
      <w:r w:rsidR="00191758">
        <w:rPr>
          <w:sz w:val="24"/>
        </w:rPr>
        <w:t xml:space="preserve"> dalle accueillant la borne,</w:t>
      </w:r>
    </w:p>
    <w:p w:rsidR="00191758" w:rsidRDefault="00945D7C" w:rsidP="00191758">
      <w:pPr>
        <w:ind w:left="1985" w:hanging="284"/>
        <w:jc w:val="both"/>
        <w:rPr>
          <w:sz w:val="24"/>
        </w:rPr>
      </w:pPr>
      <w:r>
        <w:rPr>
          <w:sz w:val="24"/>
        </w:rPr>
        <w:sym w:font="Wingdings" w:char="F0F0"/>
      </w:r>
      <w:r w:rsidR="00191758">
        <w:rPr>
          <w:sz w:val="24"/>
        </w:rPr>
        <w:t xml:space="preserve"> </w:t>
      </w:r>
      <w:proofErr w:type="gramStart"/>
      <w:r w:rsidR="00191758">
        <w:rPr>
          <w:sz w:val="24"/>
        </w:rPr>
        <w:t>un</w:t>
      </w:r>
      <w:proofErr w:type="gramEnd"/>
      <w:r w:rsidR="00191758">
        <w:rPr>
          <w:sz w:val="24"/>
        </w:rPr>
        <w:t xml:space="preserve"> dispositif de protection vis-à-vis des véhicules,</w:t>
      </w:r>
    </w:p>
    <w:p w:rsidR="00191758" w:rsidRDefault="00945D7C" w:rsidP="00191758">
      <w:pPr>
        <w:ind w:left="1701"/>
        <w:jc w:val="both"/>
        <w:rPr>
          <w:sz w:val="24"/>
        </w:rPr>
      </w:pPr>
      <w:r>
        <w:rPr>
          <w:sz w:val="24"/>
        </w:rPr>
        <w:sym w:font="Wingdings" w:char="F0F0"/>
      </w:r>
      <w:r w:rsidR="00191758">
        <w:rPr>
          <w:sz w:val="24"/>
        </w:rPr>
        <w:t xml:space="preserve"> </w:t>
      </w:r>
      <w:proofErr w:type="gramStart"/>
      <w:r w:rsidR="00191758">
        <w:rPr>
          <w:sz w:val="24"/>
        </w:rPr>
        <w:t>l’armoire</w:t>
      </w:r>
      <w:proofErr w:type="gramEnd"/>
      <w:r w:rsidR="00191758">
        <w:rPr>
          <w:sz w:val="24"/>
        </w:rPr>
        <w:t xml:space="preserve"> accueillant le TGBT et le raccordement au</w:t>
      </w:r>
      <w:r w:rsidR="000549D8">
        <w:rPr>
          <w:sz w:val="24"/>
        </w:rPr>
        <w:t>x</w:t>
      </w:r>
      <w:r w:rsidR="00191758">
        <w:rPr>
          <w:sz w:val="24"/>
        </w:rPr>
        <w:t xml:space="preserve"> borne</w:t>
      </w:r>
      <w:r w:rsidR="000549D8">
        <w:rPr>
          <w:sz w:val="24"/>
        </w:rPr>
        <w:t>s</w:t>
      </w:r>
      <w:r w:rsidR="00191758">
        <w:rPr>
          <w:sz w:val="24"/>
        </w:rPr>
        <w:t xml:space="preserve"> aval du       disjoncteur.</w:t>
      </w:r>
    </w:p>
    <w:p w:rsidR="00191758" w:rsidRDefault="00191758" w:rsidP="00191758">
      <w:pPr>
        <w:jc w:val="both"/>
        <w:rPr>
          <w:sz w:val="24"/>
        </w:rPr>
      </w:pPr>
    </w:p>
    <w:p w:rsidR="00191758" w:rsidRDefault="00191758" w:rsidP="00191758">
      <w:pPr>
        <w:ind w:left="709"/>
        <w:jc w:val="both"/>
        <w:rPr>
          <w:b/>
          <w:i/>
          <w:iCs/>
          <w:color w:val="008000"/>
          <w:sz w:val="28"/>
        </w:rPr>
      </w:pPr>
      <w:r>
        <w:rPr>
          <w:b/>
          <w:i/>
          <w:iCs/>
          <w:color w:val="008000"/>
          <w:sz w:val="28"/>
        </w:rPr>
        <w:t>Feux de signalisation :</w:t>
      </w:r>
    </w:p>
    <w:p w:rsidR="00191758" w:rsidRDefault="00191758" w:rsidP="00191758">
      <w:pPr>
        <w:jc w:val="both"/>
        <w:rPr>
          <w:b/>
          <w:i/>
          <w:iCs/>
          <w:color w:val="008000"/>
          <w:sz w:val="28"/>
        </w:rPr>
      </w:pPr>
    </w:p>
    <w:p w:rsidR="00191758" w:rsidRDefault="00191758" w:rsidP="00191758">
      <w:pPr>
        <w:ind w:left="708" w:firstLine="708"/>
        <w:jc w:val="both"/>
        <w:rPr>
          <w:sz w:val="24"/>
        </w:rPr>
      </w:pPr>
      <w:r>
        <w:rPr>
          <w:sz w:val="24"/>
        </w:rPr>
        <w:t xml:space="preserve">Les articles G-309, G-310, G-311, G-312, G-313, G-314, G-315 et G-316 rémunèrent </w:t>
      </w:r>
      <w:r w:rsidR="00501FC0">
        <w:rPr>
          <w:sz w:val="24"/>
        </w:rPr>
        <w:t>la réalisation des feux de signalisation.</w:t>
      </w:r>
    </w:p>
    <w:p w:rsidR="00501FC0" w:rsidRDefault="00501FC0" w:rsidP="00191758">
      <w:pPr>
        <w:ind w:left="708" w:firstLine="708"/>
        <w:jc w:val="both"/>
        <w:rPr>
          <w:sz w:val="24"/>
        </w:rPr>
      </w:pPr>
    </w:p>
    <w:p w:rsidR="00FB7BC7" w:rsidRDefault="00501FC0" w:rsidP="00883346">
      <w:pPr>
        <w:ind w:left="708" w:firstLine="708"/>
        <w:jc w:val="both"/>
        <w:rPr>
          <w:sz w:val="24"/>
        </w:rPr>
      </w:pPr>
      <w:r>
        <w:rPr>
          <w:sz w:val="24"/>
        </w:rPr>
        <w:t>Les détails par article sont dans le CCTP.</w:t>
      </w:r>
    </w:p>
    <w:p w:rsidR="00883346" w:rsidRDefault="00883346" w:rsidP="00883346">
      <w:pPr>
        <w:ind w:left="708" w:firstLine="708"/>
        <w:jc w:val="both"/>
        <w:rPr>
          <w:sz w:val="24"/>
        </w:rPr>
      </w:pPr>
    </w:p>
    <w:p w:rsidR="00F348BD" w:rsidRDefault="00F348BD" w:rsidP="00883346">
      <w:pPr>
        <w:ind w:left="708" w:firstLine="708"/>
        <w:jc w:val="both"/>
        <w:rPr>
          <w:sz w:val="24"/>
        </w:rPr>
      </w:pPr>
    </w:p>
    <w:p w:rsidR="00F348BD" w:rsidRDefault="00F348BD" w:rsidP="00883346">
      <w:pPr>
        <w:ind w:left="708" w:firstLine="708"/>
        <w:jc w:val="both"/>
        <w:rPr>
          <w:sz w:val="24"/>
        </w:rPr>
      </w:pPr>
    </w:p>
    <w:p w:rsidR="00F348BD" w:rsidRDefault="00F348BD" w:rsidP="00883346">
      <w:pPr>
        <w:ind w:left="708" w:firstLine="708"/>
        <w:jc w:val="both"/>
        <w:rPr>
          <w:sz w:val="24"/>
        </w:rPr>
      </w:pPr>
    </w:p>
    <w:p w:rsidR="00FB7BC7" w:rsidRPr="00DC4310" w:rsidRDefault="00FB7BC7" w:rsidP="00DC4310">
      <w:pPr>
        <w:jc w:val="center"/>
        <w:rPr>
          <w:sz w:val="24"/>
        </w:rPr>
      </w:pPr>
      <w:r>
        <w:rPr>
          <w:sz w:val="24"/>
        </w:rPr>
        <w:t>*-*-*-*-*</w:t>
      </w:r>
    </w:p>
    <w:sectPr w:rsidR="00FB7BC7" w:rsidRPr="00DC4310" w:rsidSect="004135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rmany">
    <w:panose1 w:val="00000000000000000000"/>
    <w:charset w:val="00"/>
    <w:family w:val="script"/>
    <w:notTrueType/>
    <w:pitch w:val="variable"/>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17E92"/>
    <w:multiLevelType w:val="hybridMultilevel"/>
    <w:tmpl w:val="5E10E032"/>
    <w:lvl w:ilvl="0" w:tplc="DF2C51E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B7BC7"/>
    <w:rsid w:val="00015DCF"/>
    <w:rsid w:val="000549D8"/>
    <w:rsid w:val="000622D0"/>
    <w:rsid w:val="00090334"/>
    <w:rsid w:val="000A6223"/>
    <w:rsid w:val="00191758"/>
    <w:rsid w:val="00316BF9"/>
    <w:rsid w:val="003C1285"/>
    <w:rsid w:val="0041351B"/>
    <w:rsid w:val="0045535C"/>
    <w:rsid w:val="00462207"/>
    <w:rsid w:val="00501FC0"/>
    <w:rsid w:val="00883346"/>
    <w:rsid w:val="00945A8F"/>
    <w:rsid w:val="00945D7C"/>
    <w:rsid w:val="00AA54BA"/>
    <w:rsid w:val="00B90C1B"/>
    <w:rsid w:val="00CE4D4D"/>
    <w:rsid w:val="00DC4310"/>
    <w:rsid w:val="00ED750F"/>
    <w:rsid w:val="00ED7EA1"/>
    <w:rsid w:val="00F348BD"/>
    <w:rsid w:val="00F46ACF"/>
    <w:rsid w:val="00FB7B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C7"/>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FB7BC7"/>
    <w:pPr>
      <w:keepNext/>
      <w:outlineLvl w:val="0"/>
    </w:pPr>
    <w:rPr>
      <w:b/>
      <w:i/>
      <w:iCs/>
      <w:color w:val="008000"/>
      <w:sz w:val="28"/>
    </w:rPr>
  </w:style>
  <w:style w:type="paragraph" w:styleId="Titre2">
    <w:name w:val="heading 2"/>
    <w:basedOn w:val="Normal"/>
    <w:next w:val="Normal"/>
    <w:link w:val="Titre2Car"/>
    <w:qFormat/>
    <w:rsid w:val="00FB7BC7"/>
    <w:pPr>
      <w:keepNext/>
      <w:outlineLvl w:val="1"/>
    </w:pPr>
    <w:rPr>
      <w:color w:val="008000"/>
      <w:sz w:val="24"/>
    </w:rPr>
  </w:style>
  <w:style w:type="paragraph" w:styleId="Titre8">
    <w:name w:val="heading 8"/>
    <w:basedOn w:val="Normal"/>
    <w:next w:val="Normal"/>
    <w:link w:val="Titre8Car"/>
    <w:uiPriority w:val="9"/>
    <w:semiHidden/>
    <w:unhideWhenUsed/>
    <w:qFormat/>
    <w:rsid w:val="00ED7EA1"/>
    <w:pPr>
      <w:keepNext/>
      <w:keepLines/>
      <w:spacing w:before="200"/>
      <w:outlineLvl w:val="7"/>
    </w:pPr>
    <w:rPr>
      <w:rFonts w:asciiTheme="majorHAnsi" w:eastAsiaTheme="majorEastAsia" w:hAnsiTheme="majorHAnsi" w:cstheme="majorBidi"/>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B7BC7"/>
    <w:rPr>
      <w:rFonts w:ascii="Times New Roman" w:eastAsia="Times New Roman" w:hAnsi="Times New Roman" w:cs="Times New Roman"/>
      <w:b/>
      <w:i/>
      <w:iCs/>
      <w:color w:val="008000"/>
      <w:sz w:val="28"/>
      <w:szCs w:val="20"/>
      <w:lang w:eastAsia="fr-FR"/>
    </w:rPr>
  </w:style>
  <w:style w:type="character" w:customStyle="1" w:styleId="Titre2Car">
    <w:name w:val="Titre 2 Car"/>
    <w:basedOn w:val="Policepardfaut"/>
    <w:link w:val="Titre2"/>
    <w:rsid w:val="00FB7BC7"/>
    <w:rPr>
      <w:rFonts w:ascii="Times New Roman" w:eastAsia="Times New Roman" w:hAnsi="Times New Roman" w:cs="Times New Roman"/>
      <w:color w:val="008000"/>
      <w:sz w:val="24"/>
      <w:szCs w:val="20"/>
      <w:lang w:eastAsia="fr-FR"/>
    </w:rPr>
  </w:style>
  <w:style w:type="character" w:customStyle="1" w:styleId="Titre8Car">
    <w:name w:val="Titre 8 Car"/>
    <w:basedOn w:val="Policepardfaut"/>
    <w:link w:val="Titre8"/>
    <w:uiPriority w:val="9"/>
    <w:semiHidden/>
    <w:rsid w:val="00ED7EA1"/>
    <w:rPr>
      <w:rFonts w:asciiTheme="majorHAnsi" w:eastAsiaTheme="majorEastAsia" w:hAnsiTheme="majorHAnsi" w:cstheme="majorBidi"/>
      <w:color w:val="404040" w:themeColor="text1" w:themeTint="BF"/>
      <w:sz w:val="20"/>
      <w:szCs w:val="20"/>
      <w:lang w:eastAsia="fr-FR"/>
    </w:rPr>
  </w:style>
  <w:style w:type="paragraph" w:styleId="Pieddepage">
    <w:name w:val="footer"/>
    <w:basedOn w:val="Normal"/>
    <w:link w:val="PieddepageCar"/>
    <w:semiHidden/>
    <w:rsid w:val="00ED7EA1"/>
    <w:pPr>
      <w:tabs>
        <w:tab w:val="center" w:pos="4536"/>
        <w:tab w:val="right" w:pos="9072"/>
      </w:tabs>
    </w:pPr>
    <w:rPr>
      <w:rFonts w:ascii="Arial" w:hAnsi="Arial"/>
      <w:sz w:val="24"/>
    </w:rPr>
  </w:style>
  <w:style w:type="character" w:customStyle="1" w:styleId="PieddepageCar">
    <w:name w:val="Pied de page Car"/>
    <w:basedOn w:val="Policepardfaut"/>
    <w:link w:val="Pieddepage"/>
    <w:semiHidden/>
    <w:rsid w:val="00ED7EA1"/>
    <w:rPr>
      <w:rFonts w:ascii="Arial" w:eastAsia="Times New Roman" w:hAnsi="Arial" w:cs="Times New Roman"/>
      <w:sz w:val="24"/>
      <w:szCs w:val="20"/>
      <w:lang w:eastAsia="fr-FR"/>
    </w:rPr>
  </w:style>
  <w:style w:type="paragraph" w:styleId="Corpsdetexte3">
    <w:name w:val="Body Text 3"/>
    <w:basedOn w:val="Normal"/>
    <w:link w:val="Corpsdetexte3Car"/>
    <w:semiHidden/>
    <w:rsid w:val="00ED7EA1"/>
    <w:pPr>
      <w:pBdr>
        <w:top w:val="double" w:sz="4" w:space="1" w:color="auto"/>
        <w:left w:val="double" w:sz="4" w:space="4" w:color="auto"/>
        <w:bottom w:val="double" w:sz="4" w:space="1" w:color="auto"/>
        <w:right w:val="double" w:sz="4" w:space="5" w:color="auto"/>
      </w:pBdr>
      <w:shd w:val="pct5" w:color="000000" w:fill="FFFFFF"/>
      <w:jc w:val="center"/>
    </w:pPr>
    <w:rPr>
      <w:rFonts w:ascii="Comic Sans MS" w:hAnsi="Comic Sans MS"/>
      <w:b/>
      <w:sz w:val="40"/>
    </w:rPr>
  </w:style>
  <w:style w:type="character" w:customStyle="1" w:styleId="Corpsdetexte3Car">
    <w:name w:val="Corps de texte 3 Car"/>
    <w:basedOn w:val="Policepardfaut"/>
    <w:link w:val="Corpsdetexte3"/>
    <w:semiHidden/>
    <w:rsid w:val="00ED7EA1"/>
    <w:rPr>
      <w:rFonts w:ascii="Comic Sans MS" w:eastAsia="Times New Roman" w:hAnsi="Comic Sans MS" w:cs="Times New Roman"/>
      <w:b/>
      <w:sz w:val="40"/>
      <w:szCs w:val="20"/>
      <w:shd w:val="pct5" w:color="000000" w:fill="FFFFFF"/>
      <w:lang w:eastAsia="fr-FR"/>
    </w:rPr>
  </w:style>
  <w:style w:type="paragraph" w:styleId="Textedebulles">
    <w:name w:val="Balloon Text"/>
    <w:basedOn w:val="Normal"/>
    <w:link w:val="TextedebullesCar"/>
    <w:uiPriority w:val="99"/>
    <w:semiHidden/>
    <w:unhideWhenUsed/>
    <w:rsid w:val="00ED7EA1"/>
    <w:rPr>
      <w:rFonts w:ascii="Tahoma" w:hAnsi="Tahoma" w:cs="Tahoma"/>
      <w:sz w:val="16"/>
      <w:szCs w:val="16"/>
    </w:rPr>
  </w:style>
  <w:style w:type="character" w:customStyle="1" w:styleId="TextedebullesCar">
    <w:name w:val="Texte de bulles Car"/>
    <w:basedOn w:val="Policepardfaut"/>
    <w:link w:val="Textedebulles"/>
    <w:uiPriority w:val="99"/>
    <w:semiHidden/>
    <w:rsid w:val="00ED7EA1"/>
    <w:rPr>
      <w:rFonts w:ascii="Tahoma" w:eastAsia="Times New Roman" w:hAnsi="Tahoma" w:cs="Tahoma"/>
      <w:sz w:val="16"/>
      <w:szCs w:val="16"/>
      <w:lang w:eastAsia="fr-FR"/>
    </w:rPr>
  </w:style>
  <w:style w:type="paragraph" w:styleId="Paragraphedeliste">
    <w:name w:val="List Paragraph"/>
    <w:basedOn w:val="Normal"/>
    <w:uiPriority w:val="34"/>
    <w:qFormat/>
    <w:rsid w:val="00945A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5B4E5-34C8-49DE-9424-D1EF35A3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1764</Words>
  <Characters>9703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SDEG</Company>
  <LinksUpToDate>false</LinksUpToDate>
  <CharactersWithSpaces>11445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Domie</dc:creator>
  <cp:lastModifiedBy>Domie</cp:lastModifiedBy>
  <cp:revision>16</cp:revision>
  <cp:lastPrinted>2016-06-09T07:39:00Z</cp:lastPrinted>
  <dcterms:created xsi:type="dcterms:W3CDTF">2016-06-09T06:56:00Z</dcterms:created>
  <dcterms:modified xsi:type="dcterms:W3CDTF">2016-07-13T13:40:00Z</dcterms:modified>
</cp:coreProperties>
</file>